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RR.2019.160 vom 13. August 2019</w:t>
      </w:r>
    </w:p>
    <w:p>
      <w:r>
        <w:t>Bundesstrafgericht, 2019-08-13, FR</w:t>
      </w:r>
    </w:p>
    <w:p>
      <w:r>
        <w:rPr>
          <w:b/>
        </w:rPr>
        <w:t xml:space="preserve">Quelle: </w:t>
      </w:r>
      <w:r>
        <w:t>https://mcp.opencaselaw.ch/entscheid/bstger_RR.2019.160</w:t>
      </w:r>
    </w:p>
    <w:p>
      <w:r>
        <w:t>FR: TPF RR.2019.160 du 13 août 2019</w:t>
      </w:r>
    </w:p>
    <w:p>
      <w:r>
        <w:t>IT: TPF RR.2019.160 del 13 agosto 2019</w:t>
      </w:r>
    </w:p>
    <w:p>
      <w:pPr>
        <w:pStyle w:val="Heading2"/>
      </w:pPr>
      <w:r>
        <w:t>Regeste</w:t>
      </w:r>
    </w:p>
    <w:p>
      <w:r>
        <w:t>Entraide judiciaire internationale en matière pénale aux Pays-Bas. Décision d'extradition (art. 55 EIMP). Elargissement (art. 50 al. 3 EIMP).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l’institution de la jonction des causes est néanmoins admise en pratique (cf. arrêts du Tribunal pénal fédéral RR.2017.97 et RR.2017.69 du 30 juin 2017 consid. 3; RR.2008.190 du 26 février 2009 consid. 1; RR.2008.216 + RR.2008.225-230 du 20 novembre 2008 consid. 1.2; MOSER/BEUSCH/KNEUBÜHLER, Prozessieren vor dem Bundesverwaltungsgericht, 2e éd. 2013, § 3.17, p. 144 s.).</w:t>
      </w:r>
    </w:p>
    <w:p>
      <w:r>
        <w:t>Vu la connexité évidente existant entre la décision d’extradition et la décision refusant la remise en liberté du recourant, il y a lieu de joindre les causes RR.2019.160 et RH.2019.16.</w:t>
      </w:r>
    </w:p>
    <w:p>
      <w:r>
        <w:rPr>
          <w:b/>
        </w:rPr>
        <w:t>E. 2.1</w:t>
      </w:r>
    </w:p>
    <w:p>
      <w:r>
        <w:t>Les procédures d’extradition entre la Suisse et les Pays-Bas sont prioritairement régies par la Convention européenne d’extradition du 13 décembre 1957 (CEExtr; RS 0.353.1), entrée en vigueur pour la Suisse le 20 mars 1967 et le 15 mai 1969 pour les Pays-Bas, par le premier protocole additionnel à la CEExtr du 15 octobre 1975 (PA I CEExtr; RS 0.353.11), entré en vigueur le 9 juin 1985 pour la Suisse et le 12 avril 1982 pour les Pays-Bas, par le deuxième protocole additionnel à la CEExtr du 17 mars 1978 (PA II CEExtr; RS 0.353.12), entré en vigueur le 9 juin 1985 pour la Suisse et le 5 juin 1983 pour les Pays-Bas ainsi que par le troisième protocole additionnel à la CEExtr du 10 novembre 2010 (PA III CEExtr; RS 0.353.13), entré en vigueur le 1er novembre 2016 pour la Suisse et le 1er novembre 2012 pour les Pays-Bas. Les art. 48 ss de la Convention d’application de l’Accord de Schengen du 14 juin 1985 (CAAS; n° CELEX 42000A0922[02]; Journal officiel de l’Union européenne L 239 du 22 septembre 2000 p. 19 à 62), rectifiés par la décision 2007/533/JAI du Conseil du 12 juin 2007 sur l’établissement, le fonctionnement et l’utilisation du Système d’information Schengen de deuxième génération (SIS II), en l’occurrence le chapitre V, art. 26 à 31 (Journal officiel de l’Union européenne L 205 du 7 août 2007 p. 63), s’appliquent également à l’entraide pénale entre la Suisse et les Pays-Bas.</w:t>
      </w:r>
    </w:p>
    <w:p>
      <w:r>
        <w:t>- 6 -</w:t>
      </w:r>
    </w:p>
    <w:p>
      <w:r>
        <w:t>La loi fédérale du 20 mars 1982 sur l’entraide internationale en matière pénale (EIMP; RS 351.1) et son ordonnance d’exécution (OEIMP; RS 351.11) règlent les questions qui ne sont pas régies, explicitement ou implicitement par les traités. Le droit interne s’applique en outre lorsqu’il est plus favorable à l’octroi de l’extradition que ces derniers (ATF 142 IV 250 consid. 3; 140 IV 123 consid. 2; 137 IV 33 consid. 2.2.2). L’application de la norme la plus favorable (principe dit « de faveur ») doit avoir lieu dans le respect des droits fondamentaux (ATF 135 IV 212 consid. 2.3).</w:t>
      </w:r>
    </w:p>
    <w:p>
      <w:r>
        <w:rPr>
          <w:b/>
        </w:rPr>
        <w:t>E. 2.2.1</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PA, applicable par renvoi de l’art. 39 al. 2 let. b de la loi fédérale sur l’organisation des autorités pénales de la Confédération [LOAP; RS 173.71]), le recours déposé à l’encontre de la décision de l’OFJ accordant l’extradition (cause RR.2019.160) est donc recevable.</w:t>
      </w:r>
    </w:p>
    <w:p>
      <w:r>
        <w:rPr>
          <w:b/>
        </w:rPr>
        <w:t>E. 2.2.2</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et 37 al. 2 let. a ch. 1 LOAP). Le recours déposé le 19 juillet 2019 à l’encontre de la décision de l’OFJ refusant la demande de mise en liberté du recourant du 11 juillet 2019 est ainsi recevable (cause RH.2019.16).</w:t>
      </w:r>
    </w:p>
    <w:p>
      <w:r>
        <w:rPr>
          <w:b/>
        </w:rPr>
        <w:t>E. 2.3</w:t>
      </w:r>
    </w:p>
    <w:p>
      <w:r>
        <w:t>Les recours sont recevables de sorte qu’il convient d’entrer en matière sur le fond.</w:t>
      </w:r>
    </w:p>
    <w:p>
      <w:r>
        <w:t>I. Recours contre la décision d’extradition (cause RR.2019.160)</w:t>
      </w:r>
    </w:p>
    <w:p>
      <w:r>
        <w:rPr>
          <w:b/>
        </w:rPr>
        <w:t>E. 3</w:t>
      </w:r>
    </w:p>
    <w:p>
      <w:r>
        <w:t>Le recourant invoque une violation de l’art. 3 de la Convention de sauvegarde des droits de l’homme et des libertés fondamentales du</w:t>
      </w:r>
    </w:p>
    <w:p>
      <w:r>
        <w:rPr>
          <w:b/>
        </w:rPr>
        <w:t>E. 3.1</w:t>
      </w:r>
    </w:p>
    <w:p>
      <w:r>
        <w:t>Selon l’art. 3 CEDH, nul ne peut être soumis à la torture ni à des peines ou traitements inhumains ou dégradants.</w:t>
      </w:r>
    </w:p>
    <w:p>
      <w:r>
        <w:rPr>
          <w:b/>
        </w:rPr>
        <w:t>E. 3.2</w:t>
      </w:r>
    </w:p>
    <w:p>
      <w:r>
        <w:t>Selon la jurisprudence constante, il n’y a pas de raisons sérieuses de penser que, lors d’une extradition dans les pays possédant une structure d’Etat de droit, la personne poursuivie pourrait être exposée au risque d’une violation de l’art. 3 CEDH. C’est pourquoi l’extradition est accordée à ces Etats sans condition, c’est-à-dire sans que soit exigée dudit Etat la remise de garanties diplomatiques – et ce indépendamment du risque de violation des droits humains concrètement avancé par l’extradable (cf. par exemple ATF 134 IV 156 consid. 6.7, JdT 2009 IV 59).</w:t>
      </w:r>
    </w:p>
    <w:p>
      <w:r>
        <w:rPr>
          <w:b/>
        </w:rPr>
        <w:t>E. 3.3</w:t>
      </w:r>
    </w:p>
    <w:p>
      <w:r>
        <w:t>Le recourant estime que, au regard de l’art. 3 CEDH, les Etats Parties ont l’obligation de protéger la santé des détenus. Ils doivent s’assurer que le détenu bénéficie promptement d’un diagnostic précis et d’une prise en charge adaptée. Il cite plusieurs arrêts de la CEDH consacrant ces principes (act. 1, p. 4). Selon l’OFJ, la demande de libération déposée par le recourant le 9 juillet 2019 et proposant notamment l’assignation à son domicile permettrait de supposer que l’état de santé du recourant ne nécessite plus une hospitalisation permanente et peut être convenablement pris en charge par un traitement médical ambulatoire. L’Office indique en outre être disposé de transmettre aux autorités néerlandaises l’ensemble des certificats médicaux existants afin d’attirer leur attention sur l’éventuelle nécessité d’une prise en charge médicale adéquate à l’issue de la remise à l’Etat requérant, ceci en plus des éléments d’ores et déjà communiqués au Ministère néerlandais de la justice en date des 17 et 18 juin 2019 (act. 6, p. 7).</w:t>
      </w:r>
    </w:p>
    <w:p>
      <w:r>
        <w:rPr>
          <w:b/>
        </w:rPr>
        <w:t>E. 3.4.1</w:t>
      </w:r>
    </w:p>
    <w:p>
      <w:r>
        <w:t>Les Pays-Bas sont un pays signataire de la CEDH ainsi que de la Convention contre la torture, et appartiennent aux Etats à tradition démocratique de sorte que, conformément à la jurisprudence précitée (cf. supra, consid. 3.2), ils sont réputés respecter la CEDH, sans qu’une garantie ne soit exigée. Il n’y a ainsi pas de raison de douter que les Pays- Bas soient en mesure d’assurer au recourant un traitement compatible avec son état de santé, et que les B. ne sont pas les seuls à pouvoir lui garantir un traitement efficace contre sa maladie. Les hôpitaux sont par ailleurs parfaitement en mesure de communiquer entre eux afin d’assurer une continuité dans le traitement du patient, de sorte que celui-ci bénéficie du meilleur suivi. De plus, les lymphocytes du recourant étant stockés sous forme congelée, ils sont réputés être aisément transportables en cas de besoin. Le recourant lui-même estime être apte à séjourner chez lui plutôt qu’à l’hôpital, de sorte qu’il ne nécessite pas une prise en charge constante</w:t>
      </w:r>
    </w:p>
    <w:p>
      <w:r>
        <w:t>- 8 -</w:t>
      </w:r>
    </w:p>
    <w:p>
      <w:r>
        <w:t>en milieu hospitalier. Enfin l’OFJ a déjà expressément attiré l’attention de l’autorité étrangère de l’état de santé du recourant et a proposé de le faire à nouveau en cas de remise du requérant.</w:t>
      </w:r>
    </w:p>
    <w:p>
      <w:r>
        <w:rPr>
          <w:b/>
        </w:rPr>
        <w:t>E. 3.4.2</w:t>
      </w:r>
    </w:p>
    <w:p>
      <w:r>
        <w:t>Enfin, les différentes jurisprudences de la Cour européenne des droits de l’homme citées par le recourant ne lui sont d’aucune aide. En effet, les arrêts constatant une violation de l’art. 3 CEDH condamnent des Etats dont les citoyens ont été victimes d’actes de torture ou n’ont pas bénéficié de l’assistance médicale requise par leur état de santé, et non des cas où l’extradition a été jugée incompatible avec l’état de santé du requérant, à l’exception de l’affaire Aswat c. Royaume-Uni (requête n° 17299/12 du 16 avril 2013). Dans le cas Catalin Eugen Micu c. Roumanie (requête n° 55104/13 du 5 janvier 2016), la Cour a estimé qu’il y avait une violation de l’art. 3 CEDH en raison de la surpopulation carcérale subie par le requérant, mais pas de violation de l’article précité en raison d’une condamnation par l’hépatite C ou d’une défaillance dans le suivi médical en prison. L’affaire Aleksandr Andreyev c. Russie (requête n° 2281/06 du 23 février 2016) concernait un requérant ayant subi des actes de torture par la police. Le cas Blokhin c. Russie examinait la violation de l’art. 3 CEDH au détriment d’un enfant détenu dans un centre de détention pour mineurs en vue d’une « rééducation comportementale ». La Cour a admis la violation au motif que le pédiatre ayant suivi le requérant au centre de détention n’avait pas la compétence nécessaire pour traiter son trouble psychique, et que celui-ci n’avait de plus pas été examiné par un neurologue ou un psychiatre ou s’était vu administrer les médicaments prescrits par un psychiatre avant son placement, alors que l’adolescent souffrait d’un trouble de l’attention avec hyperactivité et d’énurésie (requête n°47152/06 du 18 février 2016). La Cour a en revanche nié la violation de l’art. 3 concernant la compatibilité de l’état de santé du requérant avec sa détention dans l’affaire Rywin c. Pologne (requête n° 6091/06 du 18 février 2016). Elle a estimé qu’un mauvais traitement devait atteindre un minimum de gravité pour qu’une violation de l’art. 3 CEDH soit admise. Elle a de plus rappelé qu’il incombe aux autorités nationales de faire en sorte que les diagnostics et les soins médicaux dans les lieux de détention, y compris dans les hôpitaux de prison, répondent à l’urgence et soient effectués de manière fiable (arrêt précité, § 137). La Cour a ainsi reconnu que, si l’état de santé du requérant – lequel souffrait de plusieurs maladies chroniques (maladies cardiaques, diabète, etc.) – était préoccupant, celui-ci n’était pas incompatible avec l’incarcération. Il pouvait ainsi être incarcéré dans un établissement pénitentiaire doté d’une unité hospitalière où il pouvait avoir un accès rapide aux soins en cas d’urgence et suivre son traitement médicamenteux. La Cour a par ailleurs rappelé que l’on ne pouvait déduire une obligation générale de remettre en liberté ou bien de transférer dans</w:t>
      </w:r>
    </w:p>
    <w:p>
      <w:r>
        <w:t>- 9 -</w:t>
      </w:r>
    </w:p>
    <w:p>
      <w:r>
        <w:t>un hôpital civil un détenu, même si celui-ci souffre d’une maladie particulièrement difficile à soigner (arrêt précité, § 138). Ce dernier arrêt illustre par conséquent bien la problématique d’un détenu souffrant de diverses maladies et ayant besoin de soins, et précise ainsi qu’une détention peut être parfaitement compatible avec des problèmes de santé déjà qualifiés de préoccupants, et qu’il incombe ainsi aux Etats de garantir aux détenus des soins adaptés à leur état de santé et au traitement qu’ils doivent prendre. En l’espèce, le recourant ne démontre pas que les Pays- Bas ne seraient pas en mesure de lui garantir de tels soins, conformes aux exigences précitées, ou ne disposent pas d’une unité hospitalière en milieu carcéral permettant d’assurer un suivi ou une prise en charge immédiate en cas d’urgence. Il ne cite par ailleurs aucun arrêt de la Cour européenne des droits de l’homme ayant condamné ce pays pour violation de l’art. 3 CEDH en raison de l’incompatibilité de l’état de santé du requérant avec la détention. Enfin, le seul cas cité par le recourant pouvant réellement être comparé au cas d’espèce est l’affaire Aswat c. Royaume-Uni (requête n° 17299/12 du 16 avril 2013), dans laquelle la Cour a eu à examiner si l’extradition d’une personne soupçonnée de terrorisme et souffrant de graves troubles mentaux vers les Etats-Unis, dans des conditions incertaines, emporterait violation de l’art. 3 CEDH. Elle a répondu par l’affirmative, notamment compte tenu de la gravité de l’état mental du requérant et des conditions incertaines de détention aux Etats-Unis, pays dans lequel le requérant n’avait pour le surplus aucune attache. Il y avait ainsi un « risque réel que l’extradition du requérant dans un autre pays et dans un milieu carcéral différent, potentiellement plus hostile, conduise à une détérioration notable de son état de santé mental et physique et que pareille détérioration atteigne le seuil de gravité de l’article 3 ». Le cas n’est ainsi nullement comparable au cas d’espèce: d’une part les Etats-Unis ne sont pas parties à la CEDH, de sorte qu’il ne saurait être admis qu’ils se conforment à l’art. 3 de dite Convention, et d’autre part le pays avait une politique de détention très sévère à l’encontre des personnes soupçonnées de terrorisme, ce qui n’est pas le cas des Pays-Bas, lesquels ont un système se rapprochant davantage du modèle suisse.</w:t>
      </w:r>
    </w:p>
    <w:p>
      <w:r>
        <w:rPr>
          <w:b/>
        </w:rPr>
        <w:t>E. 3.4.3</w:t>
      </w:r>
    </w:p>
    <w:p>
      <w:r>
        <w:t>Au vu de ce qui précède, le recourant n’apporte aucun élément démontrant que son extradition vers les Pays-Bas conduirait à une violation de l’art. 3 CEDH de sorte que ce grief doit être rejeté.</w:t>
      </w:r>
    </w:p>
    <w:p>
      <w:r>
        <w:rPr>
          <w:b/>
        </w:rPr>
        <w:t>E. 4</w:t>
      </w:r>
    </w:p>
    <w:p>
      <w:r>
        <w:t>avril 2006 consid. 3.1).</w:t>
      </w:r>
    </w:p>
    <w:p>
      <w:r>
        <w:rPr>
          <w:b/>
        </w:rPr>
        <w:t>E. 4.1</w:t>
      </w:r>
    </w:p>
    <w:p>
      <w:r>
        <w:t>Conformément à l’art. 12 CEExtr, il sera produit à l’appui de la requête étrangère l’original ou l’expédition authentique soit d’une décision de condamnation exécutoire, soit d’un mandat d’arrêt ou de tout autre acte ayant la même force, délivré dans les formes prescrites par la loi de la Partie requérante (ch. 2 let. a).</w:t>
      </w:r>
    </w:p>
    <w:p>
      <w:r>
        <w:rPr>
          <w:b/>
        </w:rPr>
        <w:t>E. 4.2</w:t>
      </w:r>
    </w:p>
    <w:p>
      <w:r>
        <w:t>Selon la jurisprudence, il n’y a pas lieu d’être trop exigeant quant aux conditions formelles de la demande, les indications fournies à l’appui de celle-ci devant simplement suffire pour vérifier que la demande n’est pas d’emblée inadmissible (arrêt du Tribunal fédéral 1A.30/2001 du 2 avril 2001 consid. 3a; MOREILLON, Entraide internationale en matière pénale, Commentaire romand, 2004, n° 3 ad art. 41 EIMP). Les exigences de l’art. 12 ch. 2 CEExtr, qui sont reprises aux art. 28 al. 3 et 41 EIMP, sont en effet destinées à permettre à l’Etat requis d’examiner si les conditions de fond posées par la CEExtr sont réalisées (double incrimination [art. 2], nature du délit [art. 3-5], impossibilité d’extrader les nationaux [art. 6], lieu de perpétration [art. 7], respect des principes ne bis in idem [art. 8 et 9] et de la spécialité [art. 14], etc.; arrêt du Tribunal fédéral 1A.254/2006 du</w:t>
      </w:r>
    </w:p>
    <w:p>
      <w:r>
        <w:rPr>
          <w:b/>
        </w:rPr>
        <w:t>E. 4.3</w:t>
      </w:r>
    </w:p>
    <w:p>
      <w:r>
        <w:t>L’argumentation de l’OFJ relative à l’art. 12 CEExtr ne prête pas le flanc à la critique. Ainsi, la validité des pièces produites par l’Etat requérant n’a pas à être évaluée, sauf en cas de violation particulièrement flagrante du droit procédural étranger, faisant apparaître la demande d’extradition comme un abus de droit, et permettant au surplus de douter de la conformité de la procédure étrangère aux droits fondamentaux de la défense (arrêt du Tribunal pénal fédéral RR.2016.278 du 1er mars 2017 consid. 2.5). Or la demande a en l’espèce été produite conformément à l’art. 12 de la convention, comme le retient l’OFJ dans sa décision d’extradition. Dans sa première demande d’extradition du 26 avril 2019, l’autorité requérante précise en outre qu’elle est compétente pour adresser une telle demande (act. 6.11). En vertu du principe de la bonne foi, lequel doit également être respecté par les Etats dans l’accomplissement de leurs devoirs internationaux (ATF 121 I 181 consid. 2c), il n’y a pas lieu de douter de la véracité des éléments livrés par l’autorité requérante, étant rappelé qu’il n’appartient pas à l’Etat requis de remettre en cause les déclarations de l’Etat requérant, sous réserve d’éventuelles contradictions manifestes, ce qui n’est pas le cas en l’espèce. Il s’ensuit que le grief tiré de la violation de l’art. 12 par. 2 let. a CEExtr est également mal fondé.</w:t>
      </w:r>
    </w:p>
    <w:p>
      <w:r>
        <w:t>- 11 -</w:t>
      </w:r>
    </w:p>
    <w:p>
      <w:r>
        <w:rPr>
          <w:b/>
        </w:rPr>
        <w:t>E. 5</w:t>
      </w:r>
    </w:p>
    <w:p>
      <w:r>
        <w:t>Au vu de ce qui précède, le recours contre la décision d’extradition est rejeté.</w:t>
      </w:r>
    </w:p>
    <w:p>
      <w:r>
        <w:t>II. Recours contre le refus de remise en liberté (cause RH.2019.16)</w:t>
      </w:r>
    </w:p>
    <w:p>
      <w:r>
        <w:rPr>
          <w:b/>
        </w:rPr>
        <w:t>E. 6</w:t>
      </w:r>
    </w:p>
    <w:p>
      <w:r>
        <w:t>Selon le recourant, l’OFJ aurait violé l’art. 47 EIMP en rejetant sa demande de mise en liberté.</w:t>
      </w:r>
    </w:p>
    <w:p>
      <w:r>
        <w:rPr>
          <w:b/>
        </w:rPr>
        <w:t>E. 6.1</w:t>
      </w:r>
    </w:p>
    <w:p>
      <w:r>
        <w:t>La détention de l’accusé constitue la règle dans le cadre d’une procédure d’extradition (ATF 130 II 306 consid. 2.2; 117 IV 359 consid. 2a; 111 IV 108 consid. 2; 109 IV 159 consid. 1; 109 Ib 58 consid. 2).</w:t>
      </w:r>
    </w:p>
    <w:p>
      <w:r>
        <w:rPr>
          <w:b/>
        </w:rPr>
        <w:t>E. 6.2</w:t>
      </w:r>
    </w:p>
    <w:p>
      <w:r>
        <w:t>Exceptionnellement, le mandat d'arrêt en vue d'extradition peut être annulé, respectivement la mise en liberté ordonnée, s'il apparaît que la personne poursuivie ne se soustraira pas à l'extradition et n'entravera pas l'instruction (art. 47 al. 1 let. a EIMP), si un alibi peut être fourni sans délai (art. 47 al. 1 let. b EIMP), si la personne poursuivie ne peut subir l'incarcération ou si d'autres motifs le justifient (art. 47 al. 2 EIMP), si la demande d'extradition et ses annexes ne sont pas fournies à temps (art. 50 al. 1 EIMP) ou si l'extradition est manifestement inadmissible (art. 51 al. 1 EIMP en corrélation avec les art. 2 à 5 EIMP); en outre, la détention en vue d'extradition est levée si l'extradition est refusée (art. 56 al. 2 EIMP) ou si l'Etat requérant ne prend pas en charge le détenu en temps utile (art. 61 EIMP a contrario; ATF 130 II 306 consid. 2.1; 117 IV 359 consid. 2a).</w:t>
      </w:r>
    </w:p>
    <w:p>
      <w:r>
        <w:rPr>
          <w:b/>
        </w:rPr>
        <w:t>E. 6.3</w:t>
      </w:r>
    </w:p>
    <w:p>
      <w:r>
        <w:t>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(ATF 130 II 306 consid. 2.2; 111 IV 108 consid. 2; arrêt du Tribunal fédéral G.31/1995 du 21 juin 1995, consid. 1). C'est d'ailleurs le sens qu'il faut donner aux art. 47 ss EIMP, de l'organisation desquels il se déduit que la détention de l'accusé est la règle (ATF 111 IV 108 consid. 2). En particulier, selon la jurisprudence restrictive du Tribunal fédéral quant au risque de fuite (ATF 130 II 306 consid. 2), l'annulation du mandat d'arrêt en vue d'extradition, respectivement l'élargissement de la personne détenue, ont été admis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w:t>
      </w:r>
    </w:p>
    <w:p>
      <w:r>
        <w:t>- 12 -</w:t>
      </w:r>
    </w:p>
    <w:p>
      <w:r>
        <w:rPr>
          <w:b/>
        </w:rPr>
        <w:t>E. 6.4</w:t>
      </w:r>
    </w:p>
    <w:p>
      <w:r>
        <w:t>Le recourant a proposé, à l’appui de sa demande de mise en liberté et outre les mesures de substitution à la détention proposées suite au décernement du mandat d’arrêt extraditionnel, le versement d’une caution de CHF 500'000.--. A l’appui de sa demande il a transmis à l’OFJ sa dernière déclaration fiscale (2017), le récapitulatif, pour l’année 2018, de son salaire, ainsi que ses fiches de salaire pour les mois de juillet à décembre 2018. Il expliquait cependant ne pouvoir réunir une telle somme qu’avec l’aide de sa famille. Il soutient que son cas est différent de celui de l’arrêt RH.2014.8 cité par l’OFJ dans sa décision de refus, dès lors qu’il a été condamné à une peine de 8 ans et non 20 ans. Il est de plus arrivé en Suisse en 2004, est propriétaire de la maison familiale à Genève, est salarié à Genève et que lui-même et sa famille bénéficient d’un permis C. Le risque de fuite ne serait par ailleurs pas plus élevé à ce stade de la procédure, car il connaissait les enjeux dès son arrestation et dès le début de la procédure d’extradition. Enfin, sa situation patrimoniale a été établie avec des justificatifs probants de sorte que la caution proposée serait manifestement de nature à pallier au risque de fuite. Si le montant ne pourrait être réuni qu’avec l’aide de sa famille, ce ne serait qu’en raison du blocage de ses comptes, ordonné par l’OFJ. Il serait cependant disposé à offrir des garanties sous d’autres formes (act. 1, p. 4-5).</w:t>
      </w:r>
    </w:p>
    <w:p>
      <w:r>
        <w:rPr>
          <w:b/>
        </w:rPr>
        <w:t>E. 6.5</w:t>
      </w:r>
    </w:p>
    <w:p>
      <w:r>
        <w:t>Dans la décision attaquée, l’OFJ a estimé qu’il ne pouvait être affirmé de façon certaine que le versement d’une somme d’argent, aussi élevée soit- elle au regard des moyens financiers de l’intéressé, permettrait indiscutablement d’exclure tout risque de fuite, à plus forte raison dès lors que le recourant ne dispose pas de l’intégralité de la somme proposée. Il ne serait ainsi pas possible d’apprécier dans quelle mesure lui ou ses proches seraient affectés par la perte du montant proposé en cas de fuite. De plus, l’OFJ relève que la procédure d’extradition en est à un stade avancé, ce qui renforcerait davantage encore le risque de fuite (act. 1.1, p. 3).</w:t>
      </w:r>
    </w:p>
    <w:p>
      <w:r>
        <w:rPr>
          <w:b/>
        </w:rPr>
        <w:t>E. 6.6</w:t>
      </w:r>
    </w:p>
    <w:p>
      <w:r>
        <w:t>Par arrêt du 12 juin 2019, la Cour de céans a rejeté le recours déposé par le recourant à l’encontre du mandat d’arrêt en vue d’extradition. S’agissant du risque de fuite, elle a retenu qu’il n’était pas susceptible d’être notablement réduit par les mesures de substitution évoquées, lesquelles étaient alors les mêmes que dans le cas présent, à l’exclusion de la caution proposée d’un montant de CHF 500'000.--. La Cour avait ainsi estimé que, si d’une part l’absence de caution suffisante faisait défaut, mesure complémentaire à la surveillance électronique, d’autre part cette dernière ne permettait pas à elle seule d’éviter la fuite de la personne munie de ce dispositif, mais uniquement de la constater (arrêt de la Cour de céans RH.2019.9 du 12 juin 2019 consid. 2.2.4). Concernant le risque de fuite en</w:t>
      </w:r>
    </w:p>
    <w:p>
      <w:r>
        <w:t>- 13 -</w:t>
      </w:r>
    </w:p>
    <w:p>
      <w:r>
        <w:t>tant que tel, la Cour avait nié l’ancrage solide voir définitif en Suisse du recourant, dès lors que celui-ci était très fréquemment à l’étranger, notamment dans son pays d’origine (le Pakistan), de sorte que son séjour en Suisse avait été passablement entrecoupé. Son dernier enfant n’était par ailleurs pas né en Suisse, et, alors qu’il avait déjà fait l’objet d’une recherche internationale en 2016, il n’avait pas été possible de le trouver en Suisse, où il était pourtant domicilié comme actuellement, de sorte que les autorités n’avaient pas pu procéder à son arrestation. Ainsi, la Cour avait conclu que, ces éléments conjugués avec la peine de huit ans à laquelle il a été condamné, tendaient plutôt à démontrer des attaches lâches avec la Suisse, et que le risque de fuite était bien réel et concret (arrêt précité, consid. 2.1.4). Ces éléments conservent toute leur pertinence dans le cas d’espèce. De plus, contrairement aux affirmations du recourant, l’avancement de la procédure d’extradition augmente davantage le risque de fuite. Ainsi, plus la procédure d’extradition arrive à bout touchant, ce qui est le cas en l’espèce dès lors que la Cour de céans a conclu au rejet du recours contre la décision d’extradition, plus l’extradable pourrait chercher à se soustraire à la mesure à laquelle il s’oppose. Par conséquent, le risque de fuite du recourant est actuellement plus élevé qu’il ne l’était au début de la procédure d’extradition, soit lorsque l’OFJ a émis le mandat d’arrêt en vue d’extradition. Même si le dépôt d’une caution est proposé complémentairement à d’autres mesures de substitution, à un stade aussi avancé de la procédure d’extradition, l’on ne saurait admettre qu’il puisse palier au risque élevé de fuite. Ainsi, si la situation d’espèce diffère quelque peu de celle résumée par le recourant dans la cause RH.2014.18, elle ne permet pas d’en tirer d’autres conclusions. Dans l’arrêt en question l’extradable avait proposé le versement d’une caution de CHF 1'000'000.-- (soit le double de celle proposée in casu par le recourant) ainsi que la remise d’une cédule hypothécaire au porteur sur un bien immobilier, propriété de sa mère. Si le recourant produit des documents à l’appui de sa demande, ceux-ci ne démontrent cependant pas de quelle manière le recourant pourrait déposer CHF 500'000.-- à titre de caution, d’autant plus que – comme il l’indique – certains de ses comptes ont été bloqués par l’OFJ. Au contraire, il ressort des documents transmis par le recourant des contradictions avec les éléments présentés jusqu’alors. En effet, alors que le recourant indiquait qu’il était arrivé et domicilié en Suisse depuis 2004, sa déclaration fiscale pour l’année 2017 indique qu’il est arrivé en Suisse en 2017, qu’il est domicilié à l’étranger et est au bénéfice du statut de « quasi-résident » (act. 1.3). Au vu des éléments qui précèdent, force est de conclure que le risque de fuite apparaît suffisamment important pour exclure l’élargissement.</w:t>
      </w:r>
    </w:p>
    <w:p>
      <w:r>
        <w:t>- 14 -</w:t>
      </w:r>
    </w:p>
    <w:p>
      <w:r>
        <w:rPr>
          <w:b/>
        </w:rPr>
        <w:t>E. 7</w:t>
      </w:r>
    </w:p>
    <w:p>
      <w:r>
        <w:t>Le recours contre la décision de refus de remise en liberté est rejeté.</w:t>
      </w:r>
    </w:p>
    <w:p>
      <w:r>
        <w:rPr>
          <w:b/>
        </w:rPr>
        <w:t>E. 8</w:t>
      </w:r>
    </w:p>
    <w:p>
      <w:r>
        <w:t>Les frais de procédure, comprenant l’émolument d’arrêté, les émoluments de chancellerie et les débours, sont mis à la charge de la partie qui succombe (art. 63 al. 1 de la loi fédérale sur la procédure administrative [PA; RS 172.021], applicable par renvoi de l’art. 12 EIMP).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au vu de la jonction, à CHF 3’000.--, montant entièrement couvert par l’avance de frais déjà effectuée (art. 73 al. 2 LOAP, art. 8 al. 3 du règlement du Tribunal pénal fédéral sur les frais, émoluments, dépens, et indemnités de la procédure pénale fédérale [RFPPF; RS 173.713.162] et art. 63 al. 5 PA).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