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RR.2019.149 vom 4. September 2019</w:t>
      </w:r>
    </w:p>
    <w:p>
      <w:r>
        <w:t>Bundesstrafgericht, 2019-09-04, DE</w:t>
      </w:r>
    </w:p>
    <w:p>
      <w:r>
        <w:rPr>
          <w:b/>
        </w:rPr>
        <w:t xml:space="preserve">Quelle: </w:t>
      </w:r>
      <w:r>
        <w:t>https://mcp.opencaselaw.ch/entscheid/bstger_RR.2019.149</w:t>
      </w:r>
    </w:p>
    <w:p>
      <w:r>
        <w:t>FR: TPF RR.2019.149 du 4 septembre 2019</w:t>
      </w:r>
    </w:p>
    <w:p>
      <w:r>
        <w:t>IT: TPF RR.2019.149 del 4 settembre 2019</w:t>
      </w:r>
    </w:p>
    <w:p>
      <w:pPr>
        <w:pStyle w:val="Heading2"/>
      </w:pPr>
      <w:r>
        <w:t>Regeste</w:t>
      </w:r>
    </w:p>
    <w:p>
      <w:r>
        <w:t>Internationale Rechtshilfe in Strafsachen an die Vereinigten Staaten von Amerika.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BGE 141 IV 108 E. 4.2; 137 IV 25 E. 4.2.2; Verhältnis zum IRSG: BGE 132 II 178 E. 2.1; 124 II 127 E. 2a; ZIMMERMANN, La coopération judiciaire inter- nationale en matière pénale, 5. Aufl. 2019, N. 60–62, 82 ff.). In Ausführung dieses Staatsvertrages wurde am 3. Oktober 1975 das Bundesgesetz zum Staatsvertrag mit den Vereinigten Staaten von Amerika über gegenseitige Rechtshilfe in Strafsachen erlassen (BG-RVUS; SR 351.93). Dieses enthält vor allem Zuständigkeits- und Vollzugsvorschriften (ZIMMERMANN, a.a.O., N. 168 ff.).</w:t>
      </w:r>
    </w:p>
    <w:p>
      <w:r>
        <w:t>- 5 -</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Zentralstelle, mit der das Rechtshilfeverfahren abge- schlossen wird, unterliegt zusammen mit den vorangehenden Zwischenver- fügungen der ausführenden Behörde der Beschwerde an die Beschwerde- kammer des Bundesstrafgerichts (Art. 17 Abs. 1 Satz 1 BG-RVUS und Art. 37 Abs. 2 lit. a Ziff. 4 StBOG).</w:t>
      </w:r>
    </w:p>
    <w:p>
      <w:r>
        <w:t>Zur Beschwerdeführung ist berechtigt, wer persönlich und direkt von einer Rechtshilfemassnahme betroffen ist und ein schutzwürdiges Interesse an deren Aufhebung oder Änderung hat (Art. 17a BG-RVUS). Als persönlich und direkt betroffen wird im Falle der Herausgabe von Kontoinformationen an den ersuchenden Staat der jeweilige Kontoinhaber angesehen (Art. 9a lit. a IRSV; Übersicht über die Rechtsprechung in BGE 137 IV 134 E. 5; TPF 2010 47 E. 2.1).</w:t>
      </w:r>
    </w:p>
    <w:p>
      <w:r>
        <w:t>Bloss wirtschaftlich an einem Konto oder an einer direkt betroffenen Gesell- schaft Berechtigte sind nur in Ausnahmefällen selbständig beschwerdelegi- timiert. Dies kann etwa der Fall sein, wenn eine juristische Person, über de- ren Konto Auskunft verlangt wird, nicht mehr besteht (BGE 123 II 153 E. 2c bis d S. 157 f.). Die Beweislast für die wirtschaftliche Berechtigung und die Liquidation der Gesellschaft obliegt dem Rechtssuchenden. Die Auflösung der Gesellschaft darf nicht als nur vorgeschoben oder rechtsmissbräuchlich</w:t>
      </w:r>
    </w:p>
    <w:p>
      <w:r>
        <w:t>- 6 -</w:t>
      </w:r>
    </w:p>
    <w:p>
      <w:r>
        <w:t>erscheinen (BGE 137 IV 134 E. 5.2.1; 123 II 153 E. 2d S.157 f.). Darüber hinaus muss der wirtschaftlich Berechtigte im Auflösungsakt eindeutig als Begünstigter des Liquidationsgewinns bezeichnet sein (Urteile des Bundes- gerichts 1C_183/2012 vom 12. April 2012 E. 1.5; 1C_161/2011 vom 11. April 2011 E. 1.3; 1A.284/2003 vom 11. Februar 2004 E. 1; 1A.212/2001 vom 21. März 2002 E. 1.3.2; 1A.84/1999 vom 31. Mai 1999 E. 2c; Entscheid des Bundesstrafgerichts RR.2009.151 vom 11. September 2009 E. 1.3.2). Der Beweis des Zuflusses des Liquidationserlöses der aufgelösten Gesellschaft an den wirtschaftlich Berechtigten kann auch anders als mit der Bescheini- gung über die Auflösung erbracht werden (Urteil des Bundesgerichts 1C_370/2012 vom 3. Oktober 2012 E. 2.7).</w:t>
      </w:r>
    </w:p>
    <w:p>
      <w:r>
        <w:rPr>
          <w:b/>
        </w:rPr>
        <w:t>E. 2.2</w:t>
      </w:r>
    </w:p>
    <w:p>
      <w:r>
        <w:t>Die Beschwerdeführerinnen 1–3 sind die jeweiligen Inhaberinnen der Kon- ten, deren Unterlagen herausgegeben werden sollen. Die Beschwerdefüh- rerin 4 ist dagegen aufgelöst und damit nicht mehr beschwerdefähig. Dies, und die Voraussetzungen, unter welchen stattdessen ein wirtschaftlich Be- rechtigter Beschwerde führen könnte, legte das BJ ihr im Schreiben vom 18. Juni 2019 ausführlich dar. Es liegen keine entsprechenden Nachweise in den Akten. Auf die auch frist- und formgerecht erhobene Beschwerde der Beschwerdeführerinnen 1–3 ist einzutreten; auf die Beschwerde der Be- schwerdeführerin 4 ist nicht einzutreten.</w:t>
      </w:r>
    </w:p>
    <w:p>
      <w:r>
        <w:rPr>
          <w:b/>
        </w:rPr>
        <w:t>E. 3.1</w:t>
      </w:r>
    </w:p>
    <w:p>
      <w:r>
        <w:t>Die Beschwerdeführerinnen rügen, nicht über die Eröffnung des Rechtshil- feverfahrens informiert worden zu sein. Weder hätten sie an der Triage der edierten Bankunterlagen teilnehmen, noch diese Unterlagen vor der Vo- rinstanz überhaupt einsehen können. Dies verletze ihr rechtliches Gehör (act. 1 S. 11 f.; act. 19 S. 1 f.).</w:t>
      </w:r>
    </w:p>
    <w:p>
      <w:r>
        <w:rPr>
          <w:b/>
        </w:rPr>
        <w:t>E. 3.2</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 TPF 2010 142 E. 2.1; TPF 2008 91 E. 3.2; ZIMMERMANN, a.a.O., N. 472, 487). Art. 9 BG-RVUS und Art. 80b IRSG regeln gleichlautend die Teilnahme am Rechtshilfeverfahren und die Akteneinsicht (vgl. BGE 127 II 104 E. 3b). Die Berechtigten können am Verfahren teilnehmen und Einsicht in die Akten nehmen, soweit dies für die Wahrung ihrer Interessen notwendig ist (Art. 9 Abs. 1 BG-RVUS). Der Anspruch auf rechtliches Gehör umfasst namentlich das Recht der Parteien, sich vor Erlass eines Entscheids zur Sache zu äus- sern (vgl. BGE 144 I 11 E. 5.3 S. 17; 140 I 99 E. 3.4 S. 102 f.; 135 II 286 E. 5.1 S. 293). Voraussetzung des Äusserungsrechts sind genügende</w:t>
      </w:r>
    </w:p>
    <w:p>
      <w:r>
        <w:t>- 7 -</w:t>
      </w:r>
    </w:p>
    <w:p>
      <w:r>
        <w:t>Kenntnisse über den Verfahrensverlauf, was auf das Recht hinausläuft, in geeigneter Weise über die entscheidwesentlichen Vorgänge und Grundla- gen vorweg orientiert zu werden (vgl. BGE 144 I 11 E. 5.3 S. 17; 140 I 99 E. 3.4 S. 104). Die ausführende Behörde und die Rechtsmittelinstanz stellen ihre Verfügun- gen zu (a.) dem in der Schweiz wohnhaften Berechtigten oder (b.) dem im Ausland ansässigen Berechtigten mit Zustellungsdomizil in der Schweiz (Art. 80m Abs.1 IRSG). Eine Partei oder ihr Rechtsbeistand, die im Ausland wohnen, müssen ein Zustellungsdomizil in der Schweiz bezeichnen. Unter- lassen sie dies, kann die Zustellung unterbleiben (Art. 9 IRSV). Der Inhaber von Schriftstücken ist berechtigt, seinen Mandanten über das Vorliegen ei- nes Ersuchens und alle in diesem Zusammenhang stehenden Tatsachen zu informieren, sofern die zuständige Behörde dies nicht ausnahmsweise unter Hinweis auf Artikel 292 des Strafgesetzbuches und dessen Strafandrohung ausdrücklich untersagt hat (Art. 80n Abs. 1 IRSG).</w:t>
      </w:r>
    </w:p>
    <w:p>
      <w:r>
        <w:rPr>
          <w:b/>
        </w:rPr>
        <w:t>E. 3.3</w:t>
      </w:r>
    </w:p>
    <w:p>
      <w:r>
        <w:t>Vorliegend trat die Zentralstelle USA des BJ am 23. August und 24. August 2018 auf die Rechtshilfeersuchen ein. Die Ausführung wurde der Bundesan- waltschaft übertragen und der Bank ein Mitteilungsverbot auferlegt (act. 1.4, 1.5). Das Mitteilungsverbot wurde am 31. Januar 2019 aufgehoben (zuge- stellt am 4. Februar 2019). Am 22. Mai 2019 erhielt die Bank auch die Schlussverfügung (act. 1.7). Das BJ stellte die Eintretens- und Schlussver- fügungen der Bank zu, da die Beschwerdeführerinnen über kein Zustelldo- mizil in der Schweiz verfügten. In diesem Fall obliegt es der Bank, ihre Kli- entschaft über das Rechtshilfeverfahren zu orientieren, was den Beschwer- deführerinnen vorliegend erlaubt hätte, die Parteirechte auszuüben (vgl. BGE 136 IV 16 E. 2.2; 130 II 505 E. 2.3). Dass sie am vorinstanzlichen Ver- fahren nicht teilnahmen, können die Beschwerdeführerinnen nicht dem BJ vorwerfen. Die Rüge ist unbegründet. Ebenfalls unbegründet ist die Rüge, die Beschwerdeführerinnen hätten die Akten nicht einsehen können. Vielmehr kontaktierten sie das BJ erst bei fort- geschrittener Beschwerdefrist und verzichteten in der Folge vor ihrem Ablauf auf eine Einsicht (vgl. obige Erwägung D). Dasselbe geschah im vorliegen- den Beschwerdeverfahren vor Ablauf der ersten Frist zur Replik, wobei ein Einsichtstermin bereits vereinbart war. Die Beschwerdeführerinnen erhielten sodann eine weitere Gelegenheit, die herauszugebenden Bankunterlagen einzusehen und nahmen diese wahr (vgl. obige Erwägung F). Eine Verlet- zung des rechtlichen Gehörs liegt damit nicht vor.</w:t>
      </w:r>
    </w:p>
    <w:p>
      <w:r>
        <w:t>- 8 -</w:t>
      </w:r>
    </w:p>
    <w:p>
      <w:r>
        <w:rPr>
          <w:b/>
        </w:rPr>
        <w:t>E. 4.1</w:t>
      </w:r>
    </w:p>
    <w:p>
      <w:r>
        <w:t>Die Beschwerdeführerinnen rügen weiter die Verhältnismässigkeit der vor- gesehenen Rechtshilfe. Das Department of Justice (DOJ) benötige gemäss Ersuchen Bankunterlagen der Bank F. AG und nicht der Bank G. SA. Das DOJ begründe sodann das Ersuchen mit Transaktionen über USD 50'000.-- an fünf Daten zwischen November 2012 und April 2014 – ersuche dann aber um Herausgabe sämtlicher Bankunterlagen ab Januar 2011. Das BJ wiede- rum habe diese Bankunterlagen gar nicht triagiert, sondern wolle sie gleich gesamthaft an die USA übermitteln (act. 1 S. 13 f.; act. 19 S. 2–4).</w:t>
      </w:r>
    </w:p>
    <w:p>
      <w:r>
        <w:rPr>
          <w:b/>
        </w:rPr>
        <w:t>E. 4.2</w:t>
      </w:r>
    </w:p>
    <w:p>
      <w:r>
        <w:t>Zusammengefasst ermitteln gemäss dem Sachverhalt des Rechtshilfeersu- chens verschiedene Behörden in den Vereinigten Staaten seit dem Jahr 2012 wegen Verstosses gegen den Foreign Corrupt Practices Act (FCPA). Untersucht werde, ob im Zusammenhang mit der Vergabe von Beschaf- fungsverträgen für die staatlich kontrollierte Ölgesellschaft E. S.A. Beste- chungsgelder geflossen seien. Gemäss Zeugenaussagen seien die Be- schwerdeführerinnen von den in den USA Hauptbeschuldigten H. und I. be- herrscht. Die Beschwerdeführerinnen würden zu den Lieferanten gehören, welche im Gegenzug für Bevorzugungen bei Beschaffungsgeschäften Be- stechungsgelder an E.-SA-Amtsträger ausgerichtet hätten. Wie zwei koope- rierende ehemalige E.-SA-Amtsträger eingestanden hätten, seien über Bankverbindungen der Beschwerdeführerinnen bei der Bank F. AG Beste- chungsgelder geschleust worden. Die Vereinigten Staaten ersuchen um Bankunterlagen ab 1. Januar 2011 inkl. den Eröffnungsunterlagen.</w:t>
      </w:r>
    </w:p>
    <w:p>
      <w:r>
        <w:rPr>
          <w:b/>
        </w:rPr>
        <w:t>E. 4.3</w:t>
      </w:r>
    </w:p>
    <w:p>
      <w:r>
        <w:t>Rechtshilfemassnahmen müssen verhältnismässig, mit anderen Worten für ihren Zweck tauglich, erforderlich und massvoll sein, also nicht über das hin- ausgehen, was zu dessen Erreichung notwendig ist (vgl. Art. 5 Abs. 2 BV, Art. 36 Abs. 3 BV; Art. 63 Abs. 1 IRSG).</w:t>
      </w:r>
    </w:p>
    <w:p>
      <w:r>
        <w:t>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 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 somit die potentielle Erheblichkeit der beschlagnahmten Aktenstücke (BGE 142 II 161 E. 2.1.2; 139 II 404 E. 7.2.2 Abs. 2; 136 IV 82 E. 4.1/4.4; TPF 2009 130 E. 4.2).</w:t>
      </w:r>
    </w:p>
    <w:p>
      <w:r>
        <w:t>- 9 -</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1A.7/2007 vom 3. Juli 2007 E. 7.2, bestätigt in 1C_327/2018 vom 6. Juli 2018 E. 1.2; 1C_625/2012 vom 17. Dezember 2012 E. 2.2; 1A.79/2005 vom 27. April 2005 E. 4; TPF 2011 97 E. 5.1; TPF 2009 161 E. 5; ZIMMERMANN, a.a.O., N. 723).</w:t>
      </w:r>
    </w:p>
    <w:p>
      <w:r>
        <w:rPr>
          <w:b/>
        </w:rPr>
        <w:t>E. 4.4</w:t>
      </w:r>
    </w:p>
    <w:p>
      <w:r>
        <w:t>Die Rechtshilfeersuchen legen dar und zeigen auf, dass die Bankverbindun- gen der Beschwerdeführerinnen Bestechungsgelder empfangen und weiter- geleitet haben. Sie stehen damit offensichtlich in einem Zusammenhang zum ausländischen Strafverfahren. Dabei ist es unwesentlich, dass die im Ersu- chen genannten IBAN-Nummern Konten nicht bei der Bank F. AG, sondern bei der Bank G. SA bezeichnen. Das kontoführende Institut (Bankleitzahl) bildet Teil der IBAN-Nummer und wird damit unzweideutig identifiziert. Eine falsche Bezeichnung der kontoführenden Bank im Ersuchen schadet nicht. Das BJ ordnete die Herausgabe der Bankunterlagen ab 2011 an. Es gibt damit die gemäss Ersuchen für die US-amerikanische Strafuntersuchung er- forderlichen Unterlagen heraus. Eine Herausgabe nur eines Teils der Bank- unterlagen, wie es die Beschwerdeführerinnen beantragen, erlaubte nicht, die Geldflüsse über die Konten nachzuvollziehen und einzuordnen. Die Beschwerdeführerinnen unterliessen es im Übrigen in der Replik darzu- legen, Dokument für Dokument, welche einzelnen Aktenstücke (bzw. welche Passagen daraus) für die ausländische Strafuntersuchung offensichtlich ent- behrlich seien. Dies ist insbesondere erforderlich bei einer komplexen Unter- suchung mit zahlreichen Akten. Damit haben sie ihr Teilnahmerecht verwirkt. Die Beschwerdeinstanz forscht nicht von sich aus nach Aktenstücken, die im ausländischen Verfahren (mit Sicherheit) nicht erheblich sein könnten (BGE 130 II 14 E. 4.3/4.4; 126 II 258 E. 9b/aa; 122 II 367 E. 2c; Urteile des Bundesgerichts 1A.223/2006 vom 2. April 2007 E. 4.1; 1A.234/2005 vom 31. Januar 2006 E. 3.2).</w:t>
      </w:r>
    </w:p>
    <w:p>
      <w:r>
        <w:rPr>
          <w:b/>
        </w:rPr>
        <w:t>E. 4.5</w:t>
      </w:r>
    </w:p>
    <w:p>
      <w:r>
        <w:t>Die vorgesehene Rechtshilfe ist somit verhältnismässig. Die dagegen erho- benen Rügen gehen fehl.</w:t>
      </w:r>
    </w:p>
    <w:p>
      <w:r>
        <w:rPr>
          <w:b/>
        </w:rPr>
        <w:t>E. 5</w:t>
      </w:r>
    </w:p>
    <w:p>
      <w:r>
        <w:t>Insgesamt ist auf die Beschwerde der Beschwerdeführerin 4 nicht einzutre- ten. Im Übrigen ist die Beschwerde unbegründet und abzuweisen.</w:t>
      </w:r>
    </w:p>
    <w:p>
      <w:r>
        <w:t>- 10 -</w:t>
      </w:r>
    </w:p>
    <w:p>
      <w:r>
        <w:rPr>
          <w:b/>
        </w:rPr>
        <w:t>E. 6</w:t>
      </w:r>
    </w:p>
    <w:p>
      <w:r>
        <w:t>Bei diesem Ausgang des Verfahrens sind die Gerichtskosten den Beschwer- deführerinnen aufzuerlegen (vgl. Art. 63 Abs. 1 VwVG). Die Gerichtsgebühr ist auf insgesamt Fr. 6'000.-- festzusetzen, unter Anrechnung des geleiste- ten Kostenvorschusses (vgl. act. 5) in gleicher Höhe (vgl. Art. 63 Abs. 5 VwVG i.V.m. Art. 73 StBOG sowie Art. 5 und 8 Abs. 3 lit. a des Reglements des Bundesstrafgerichts vom 31. August 2010 über die Kosten, Gebühren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