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RR.2019.14 vom 24. April 2019</w:t>
      </w:r>
    </w:p>
    <w:p>
      <w:r>
        <w:t>Bundesstrafgericht, 2019-04-24, DE</w:t>
      </w:r>
    </w:p>
    <w:p>
      <w:r>
        <w:rPr>
          <w:b/>
        </w:rPr>
        <w:t xml:space="preserve">Quelle: </w:t>
      </w:r>
      <w:r>
        <w:t>https://mcp.opencaselaw.ch/entscheid/bstger_RR.2019.14</w:t>
      </w:r>
    </w:p>
    <w:p>
      <w:r>
        <w:t>FR: TPF RR.2019.14 du 24 avril 2019</w:t>
      </w:r>
    </w:p>
    <w:p>
      <w:r>
        <w:t>IT: TPF RR.2019.14 del 24 aprile 2019</w:t>
      </w:r>
    </w:p>
    <w:p>
      <w:pPr>
        <w:pStyle w:val="Heading2"/>
      </w:pPr>
      <w:r>
        <w:t>Regeste</w:t>
      </w:r>
    </w:p>
    <w:p>
      <w:r>
        <w:t>Internationale Rechtshilfe in Strafsachen an Brasilien. Kontosperre (Art. 33a IRSV).</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«Rechtshilfevertrag») massgebend. Ausser- dem gelangen vorliegend das Übereinkommen vom 17. Dezember 1997 über die Bekämpfung der Bestechung ausländischer Amtsträger im interna- tionalen Geschäftsverkehr (SR 0.311.21) sowie die Art. 43 ff. des Überein- kommens vom 31. Oktober 2003 der Vereinten Nationen gegen Korruption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2016 65 E. 1.2). Auf Beschwerdeverfahren in internationalen Rechtshil- feangelegenheiten sind zudem die Bestimmungen des Bundesgesetzes vom 20. Dezember 1968 über das Verwaltungsverfahren (Verwaltungsverfah- rensgesetz, VwVG; SR 172.021) anwendbar (Art. 39 Abs. 2 lit. b i.V.m. Art. 37 Abs. 2 lit. a Ziff. 1 StBOG), wenn das IRSG nichts anderes bestimmt (siehe Art. 12 Abs. 1 IRSG).</w:t>
      </w:r>
    </w:p>
    <w:p>
      <w:r>
        <w:rPr>
          <w:b/>
        </w:rPr>
        <w:t>E. 2.1</w:t>
      </w:r>
    </w:p>
    <w:p>
      <w:r>
        <w:t>Der Beschwerdeführer ist berechtigt, gegen Verfügungen der ausführenden kantonalen Behörde oder der ausführenden Bundesbehörde Beschwerde an die Beschwerdekammer des Bundesstrafgerichts zu führen (Art. 80e und 80h lit. a i.V.m. Art. 8 Abs. 1 IRSG).</w:t>
      </w:r>
    </w:p>
    <w:p>
      <w:r>
        <w:t>- 5 -</w:t>
      </w:r>
    </w:p>
    <w:p>
      <w:r>
        <w:rPr>
          <w:b/>
        </w:rPr>
        <w:t>E. 2.2</w:t>
      </w:r>
    </w:p>
    <w:p>
      <w:r>
        <w:t>Die angefochtene Verfügung geht einer allfälligen Schlussverfügung betref- fend Herausgabe von Vermögenswerten zur Einziehung oder Rückerstat- tung an den Berechtigten (Art. 74a IRSG) voran. Es handelt sich somit um eine Zwischenverfügung. Solche der Schlussverfügung vorangehende Zwi- schenverfügungen können u.a. dann selbstständig angefochten werden, wenn sie durch die Beschlagnahme von Vermögenswerten und Wertgegen- ständen einen unmittelbaren und nicht wieder gutzumachenden Nachteil be- wirken (Art. 80e Abs. 2 lit. a IRSG). Die entsprechende Beschwerdefrist be- trägt zehn Tage ab der schriftlichen Mitteilung der Verfügung (Art. 80k IRSG).</w:t>
      </w:r>
    </w:p>
    <w:p>
      <w:r>
        <w:rPr>
          <w:b/>
        </w:rPr>
        <w:t>E. 2.3</w:t>
      </w:r>
    </w:p>
    <w:p>
      <w:r>
        <w:t>Als Aufsichtsbehörde im Bereich der internationalen Strafsachen ist der Be- schwerdeführer jedoch berechtigt, gegen eine vor Erlass der Schlussverfü- gung ergangene Zwischenverfügung der ausführenden Behörde Be- schwerde zu führen, auch wenn er selber keinen unmittelbaren und nicht wieder gutzumachenden Nachteil dartut (siehe hierzu TPF RP.2018.50 vom</w:t>
      </w:r>
    </w:p>
    <w:p>
      <w:r>
        <w:rPr>
          <w:b/>
        </w:rPr>
        <w:t>E. 7</w:t>
      </w:r>
    </w:p>
    <w:p>
      <w:r>
        <w:t>Die Beschwerde erweist sich aufgrund des Gesagten als begründet. Sie ist gutzuheissen und die angefochtene Verfügung ist vollumfänglich aufzuhe- ben.</w:t>
      </w:r>
    </w:p>
    <w:p>
      <w:r>
        <w:rPr>
          <w:b/>
        </w:rPr>
        <w:t>E. 8.1</w:t>
      </w:r>
    </w:p>
    <w:p>
      <w:r>
        <w:t>Bei diesem Ausgang des Verfahrens ist ein Teil der Gerichtskosten dem un- terliegenden Beschwerdegegner aufzuerlegen (Art. 63 Abs. 1 VwVG). Die entsprechende Gerichtsgebühr ist auf Fr. 3'000.– festzusetzen (Art. 63 Abs. 5 VwVG i.V.m. Art. 73 StBOG sowie Art. 5 und 8 Abs. 3 lit. b des Reg-</w:t>
      </w:r>
    </w:p>
    <w:p>
      <w:r>
        <w:t>- 10 -</w:t>
      </w:r>
    </w:p>
    <w:p>
      <w:r>
        <w:t>lements des Bundesstrafgerichts vom 31. August 2010 über die Kosten, Ge- bühren und Entschädigungen in Bundesstrafverfahren [BStKR; SR 173.713.162]).</w:t>
      </w:r>
    </w:p>
    <w:p>
      <w:r>
        <w:rPr>
          <w:b/>
        </w:rPr>
        <w:t>E. 8.2</w:t>
      </w:r>
    </w:p>
    <w:p>
      <w:r>
        <w:t>Der obsiegende Beschwerdeführer hat keinen Anspruch auf Parteientschä- digung (BEUSCH, in: Auer/Müller/Schindler [Hrsg.], Bundesgesetz über das Verwaltungsverfahren – Kommentar, 2. Aufl. 2019, Art. 64 VwVG N. 10).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