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RR.2019.135 vom 24. Oktober 2019</w:t>
      </w:r>
    </w:p>
    <w:p>
      <w:r>
        <w:t>Bundesstrafgericht, 2019-10-24, FR</w:t>
      </w:r>
    </w:p>
    <w:p>
      <w:r>
        <w:rPr>
          <w:b/>
        </w:rPr>
        <w:t xml:space="preserve">Quelle: </w:t>
      </w:r>
      <w:r>
        <w:t>https://mcp.opencaselaw.ch/entscheid/bstger_RR.2019.135</w:t>
      </w:r>
    </w:p>
    <w:p>
      <w:r>
        <w:t>FR: TPF RR.2019.135 du 24 octobre 2019</w:t>
      </w:r>
    </w:p>
    <w:p>
      <w:r>
        <w:t>IT: TPF RR.2019.135 del 24 ottobre 2019</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La Cour de céans est compétente pour connaître des recours dirigés contre les décisions de l’autorité cantonale ou fédérale d’exécution relative à la clôture de la procédure d’entraide et, conjointement, les décisions incidentes (art. 80e al. 1 et 25 al. 1 EIMP, et 37 al. 2 let. a ch. 1 de la loi fédérale sur l’organisation des autorités pénales de la Confédération [LOAP; RS 173.71]).</w:t>
      </w:r>
    </w:p>
    <w:p>
      <w:r>
        <w:rPr>
          <w:b/>
        </w:rPr>
        <w:t>E. 1.2</w:t>
      </w:r>
    </w:p>
    <w:p>
      <w:r>
        <w:t>La Cour des plaintes du Tribunal pénal fédéral examine d’office la recevabilité des recours qui lui sont adressés (cf. par exemple arrêt du Tribunal pénal fédéral RR.2016.127 du 11 octobre 2016 consid. 3).</w:t>
      </w:r>
    </w:p>
    <w:p>
      <w:r>
        <w:rPr>
          <w:b/>
        </w:rPr>
        <w:t>E. 1.3</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dans le cadre de la répression de la corruption d’agents publics étrangers, voire également du blanchiment d'argent, entrent également en considération la Convention des Nations Unies contre la corruption, entrée en vigueur pour les Pays-Bas le 30 novembre 2006 et pour la Suisse le 24 octobre 2009 (RS 0.311.56) ainsi que la Convention relative au blanchiment, au dépistage, à la saisie et</w:t>
      </w:r>
    </w:p>
    <w:p>
      <w:r>
        <w:t>- 5 -</w:t>
      </w:r>
    </w:p>
    <w:p>
      <w:r>
        <w:t>à la confiscation des produits du crime (CBI; RS 0.311.53), entrée en vigueur le 1er septembre 1993 tant pour la Suisse que pour les Pays-Bas.</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1.4</w:t>
      </w:r>
    </w:p>
    <w:p>
      <w:r>
        <w:t>Formé dans les 30 jours à compter de la notification de la décision de clôture, le recours a été déposé en temps utile (art. 80k EIMP).</w:t>
      </w:r>
    </w:p>
    <w:p>
      <w:r>
        <w:rPr>
          <w:b/>
        </w:rPr>
        <w:t>E. 1.5.1</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et b OEIMP, est notamment réputé personnellement et directement touché au sens des art. 21 al. 3 et 80h EIMP, et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Il peut notamment s'agir du propriétaire ou du locataire des locaux perquisitionnés.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références citées; BOMIO/GLASSEY, La qualité pour recourir dans le domaine de l'entraide judiciaire internationale en matière pénale, in Jusletter du 13 décembre 2010, n° 36). En effet, le critère déterminant au sens de l'art. 9a let. b OEIMP est celui de la maîtrise effective au moment de la perquisition ou de la saisie. Ainsi seul sera légitimé à agir celui dont la possession sera directement troublée durant la mise en œuvre de la perquisition ou de la saisie, à l'exclusion de toute autre personne indirectement touchée (arrêts du Tribunal pénal fédéral RR.2018.271 du 14 janvier 2019 consid. 2.2.3; RR.2017.26 du 2 mai 2017 consid. 4.1; RR.2015.132 du 25 novembre 2015 consid. 2.5; BOMIO/GLASSEY, op. cit., n° 40).</w:t>
      </w:r>
    </w:p>
    <w:p>
      <w:r>
        <w:t>- 6 -</w:t>
      </w:r>
    </w:p>
    <w:p>
      <w:r>
        <w:rPr>
          <w:b/>
        </w:rPr>
        <w:t>E. 1.5.2</w:t>
      </w:r>
    </w:p>
    <w:p>
      <w:r>
        <w:t>La Cour de céans s’est prononcée sur une problématique similaire dans le cadre de la procédure d’entraide avec l’Italie (cf. supra let. C; CP/146/2016; arrêt du Tribunal pénal fédéral RR.2019.72 précité, confirmé par l’arrêt du Tribunal fédéral 1C_460/2019 précité). Dans le cas d’espèce, selon la loi et la jurisprudence précitées, le critère déterminant – au sens de l’art. 9a OEIMP –, est celui de la maîtrise effective au moment de la perquisition ou de la saisie. Or, en l’occurrence, la valise visée par la commission rogatoire italienne a été séquestrée au domicile de B., de sorte qu’au sens de l’art. 9a let. b OEIMP, respectivement des art. 21 al. 3 et 80h EIMP, seul ce dernier peut être réputé personnellement et directement touché. La thèse du recourant (act. 1, p. 17 s.), à savoir que la possession doit être fondée sur une relation contractuelle avec le propriétaire de la chose, n’a aucune portée juridique étant donné que, selon la jurisprudence constante, le critère décisif est celui de la maîtrise effective (arrêts du Tribunal pénal fédéral précités RR.2017.26 consid. 4.1; RR.2015.132 consid. 2.5). Partant, tant l’analyse du recourant à ce sujet, que celle du MP- GE (act. 6, p. 2) sont dépourvues de pertinence. La loi et la jurisprudence applicables en matière d’entraide internationale ne laissent, dans le cas d’espèce – comme pour la situation dans la procédure d’entraide parallèle avec l’Italie –, aucune marge d’appréciation.</w:t>
      </w:r>
    </w:p>
    <w:p>
      <w:r>
        <w:t>Les principes concernant la qualité pour agir ont par ailleurs déjà été affirmés à plusieurs reprises dans la procédure d’entraide parallèle avec l’Italie (arrêt du Tribunal pénal fédéral RR 2018.194 du 3 août 2018 – arrêt bien connu du recourant ainsi que de ses conseils Mes Paul Gully-Hart et Charles Goumaz, qui en ont reçu notification –), ainsi que dans la présente procédure d’entraide. C’est en vain que le recourant tente de fonder sa qualité sur l’arrêt du Tribunal pénal fédéral RR.2018.271 du 14 janvier 2019 (cf. supra let. E). La Cour de céans avait en effet dénié la légitimité de ce dernier puisqu’il n’avait pas été personnellement et directement touché par la saisie. Le fait que, dans l’arrêt du Tribunal pénal fédéral précité RR.2018.271, le recours ait été partiellement admis ne veut pas dire que la Cour a reconnu la qualité de partie du recourant à la procédure d’entraide. Dans sa décision, la Cour de céans a critiqué la décision du TMC car prématurée et parce qu’il n’était pas de la compétence du TMC de se prononcer, de façon générale, sur la qualité de partie à la procédure d’entraide. C’est en vertu de ces principes, applicables à tous les stades de la procédure d’entraide (recours contre les décisions incidentes ou de clôture), que le recours de A. contre la levée des scellés avait été déclaré irrecevable.</w:t>
      </w:r>
    </w:p>
    <w:p>
      <w:r>
        <w:rPr>
          <w:b/>
        </w:rPr>
        <w:t>E. 1.6</w:t>
      </w:r>
    </w:p>
    <w:p>
      <w:r>
        <w:t>Au vu de ce qui précède, le recours doit être déclaré irrecevable. Cette issue de la procédure devait apparaître clairement au recourant, au vu notamment</w:t>
      </w:r>
    </w:p>
    <w:p>
      <w:r>
        <w:t>- 7 -</w:t>
      </w:r>
    </w:p>
    <w:p>
      <w:r>
        <w:t>des précédentes décisions de la Cour de céans, entre autres, au sujet de sa qualité pour agir. Cela d’autant plus qu’il a toujours été assisté de deux conseils rompus à l’entraide internationale. Il ressort en effet du mémoire de recours que ces derniers maîtrisent la jurisprudence relative à la qualité pour recourir. Ils relèvent notamment que la qualité de partie en procédure administrative se détermine généralement sur la base du droit de recours, de sorte que la qualité de partie à la procédure d'entraide s'aligne sur la qualité pour agir définie par l'art. 80h let. b EIMP (arrêt du Tribunal pénal fédéral RR.2019.12 du 29 mai 2019 consid. 3 et les références citées). Le fait que, malencontreusement, le MP-GE ait notifié la décision de clôture au recourant et l’ait invité à participer à la procédure, notamment en lui permettant de s’exprimer sur le tri des documents en question et que la Cour l’ait invité à se déterminer, ne change rien à cette conclusion. Dans ces conditions, l’erreur de l’autorité ne saurait fonder un droit.</w:t>
      </w:r>
    </w:p>
    <w:p>
      <w:r>
        <w:t>Toujours est-il que, par surabondance, même en voulant admettre la qualité pour agir du recourant, le recours aurait dû être rejeté pour les motifs suivants.</w:t>
      </w:r>
    </w:p>
    <w:p>
      <w:r>
        <w:rPr>
          <w:b/>
        </w:rPr>
        <w:t>E. 2</w:t>
      </w:r>
    </w:p>
    <w:p>
      <w:r>
        <w:t>Dans un premier grief, le recourant se plaint d’une violation de son droit d’être entendu. Il n’aurait pas été en mesure de prendre connaissance de tous les fichiers que le MP-GE entend transmettre à l’autorité requérante et ainsi de se prononcer sur l’étendue de dite transmission (act. 1, p. 18 ss). De son côté, le MP-GE, en se référant la procédure RR.2019.72, a admis certaines difficultés et a, en conséquence, réduit l’étendue des pièces à transmettre. Ainsi, les éléments illisibles du répertoire « Phones » – hormis deux tableaux excel dudit répertoire (in act. 6, p. 5) – feront l’objet d’une nouvelle décision de clôture. Il a en revanche maintenu sa décision pour les autres éléments (act. 6).</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et les références citées). Par ailleurs, une autorité viole le droit d'être entendu si elle omet de se prononcer sur des griefs qui présentent une certaine</w:t>
      </w:r>
    </w:p>
    <w:p>
      <w:r>
        <w:t>- 8 -</w:t>
      </w:r>
    </w:p>
    <w:p>
      <w:r>
        <w:t>pertinence ou de prendre en considération des allégués et arguments importants pour la décision à rendre (ATF 133 III 235 consid. 5.2).</w:t>
      </w:r>
    </w:p>
    <w:p>
      <w:r>
        <w:rPr>
          <w:b/>
        </w:rPr>
        <w:t>E. 2.2</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rPr>
          <w:b/>
        </w:rPr>
        <w:t>E. 2.3</w:t>
      </w:r>
    </w:p>
    <w:p>
      <w:r>
        <w:t>Comme la Cour de céans a eu l’occasion de le constater dans la procédure d’entraide parallèle avec l’Italie (arrêt du Tribunal pénal fédéral RR.2019.72 précité consid. 2.3), il n’est également pas contesté, dans le cas d’espèce, que le MP-GE a procédé à un tri des pièces en question et qu’il a donné la possibilité au recourant de le faire. En outre, le MP-GE, a admis dans la présente procédure que certains fichiers étaient illisibles et a réduit en conséquence l’étendue de la transmission. Il a en revanche pris position sur les autres documents dont le recourant demandait la non-transmission. Le recourant a également pu, durant la présente procédure et dans la procédure d’entraide à l’Italie parallèle, s’exprimer sur ces éléments. Partant, la violation du droit d’être entendu du recourant est en l’espèce guérie dans le cours de cette procédure, dès lors que la Cour de céans dispose d’un plein pouvoir de cognition en fait et en droit (arrêt du Tribunal fédéral 1C_168/2016 du 22 avril 2016 consid. 1.3.2). On ne peut en effet pas conclure que l’autorité intimée ait procédé à une transmission « en vrac », de sorte que le grief de la violation du droit d’être entendu – guérie en ce qui concerne les documents illisibles – doit être rejeté.</w:t>
      </w:r>
    </w:p>
    <w:p>
      <w:r>
        <w:rPr>
          <w:b/>
        </w:rPr>
        <w:t>E. 3</w:t>
      </w:r>
    </w:p>
    <w:p>
      <w:r>
        <w:t>Le recourant se prévaut d’une atteinte au principe de la proportionnalité en invoquant son droit à la protection du secret professionnel de l’avocat; il bénéficierait, en ce qui concerne certaines pièces, de la protection conférée par l’art. 264 al. 1 CPP, que l’autorité d’exécution aurait violée en ordonnant leur transmission (act. 1, p. 23 ss). Selon le MP-GE, tous les documents litigieux auraient perdu leur protection de par le choix du recourant de les faire circuler, de sorte qu’il n’y aurait pas de violation de l’art. 264 al. 1 CPP</w:t>
      </w:r>
    </w:p>
    <w:p>
      <w:r>
        <w:t>- 9 -</w:t>
      </w:r>
    </w:p>
    <w:p>
      <w:r>
        <w:t>et la transmission ne serait pas disproportionnée (act. 6, p. 2 ss).</w:t>
      </w:r>
    </w:p>
    <w:p>
      <w:r>
        <w:rPr>
          <w:b/>
        </w:rPr>
        <w:t>E. 3.1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s.).</w:t>
      </w:r>
    </w:p>
    <w:p>
      <w:r>
        <w:t>Les autorités suisses sont tenues, au sens de la procédure d’entraide, d’assister les autorités étrangères dans la recherche de la vérité en</w:t>
      </w:r>
    </w:p>
    <w:p>
      <w:r>
        <w:t>- 10 -</w:t>
      </w:r>
    </w:p>
    <w:p>
      <w:r>
        <w:t>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3.2</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s.). En principe, seules ont le droit de refuser de témoigner les personnes titulaires non pas de simples secrets d'affaires, mais d'un secret professionnel qualifié au sens de l'art. 321 CP (v. ég. art. 171 CPP).</w:t>
      </w:r>
    </w:p>
    <w:p>
      <w:r>
        <w:t>L'intérêt au secret d'affaires peut cependant l'emporter au terme de la pesée d'intérêts commandée par le principe de la proportionnalité (arrêt du Tribunal fédéral 1C_247/2011 du 6 juin 2011 consid. 1.3). Quel que soit l'endroit où ils se trouvent et le moment où ils ont été conçus, les documents et objets visés à l'art. 264 al. 1 CPP ne peuvent être séquestrés.</w:t>
      </w:r>
    </w:p>
    <w:p>
      <w:r>
        <w:t>En l'espèce, n'étant pas avocat, le recourant ne peut se prévaloir du secret professionnel au sens de l'art. 321 CP. Il peut toutefois invoquer l'art. 264 al. 1 CPP (voir NATER/ZINDEL, Kommentar zum Anwaltsgesetz, 2011, nos 187 ss ad art. 13), dans la mesure où il s'agit de protéger sa relation de confiance avec son avocat. Lorsque cette relation n'est pas en cause, le grief doit être abordé sous le seul angle de la proportionnalité (v. arrêts du Tribunal pénal fédéral RR.2017.32 du 8 juin 2017 consid. 7.2; RR.2015.59 du 11 septembre 2015 consid. 7.2).</w:t>
      </w:r>
    </w:p>
    <w:p>
      <w:r>
        <w:rPr>
          <w:b/>
        </w:rPr>
        <w:t>E. 3.3.1</w:t>
      </w:r>
    </w:p>
    <w:p>
      <w:r>
        <w:t>Le recourant soutient que le MP-GE aurait violé la loi en affirmant que tous les documents présents dans le dossier « Raiffeisen » proviennent d’une extraction des courriels échangés entre le recourant et D. et leurs annexes; plusieurs de ceux-ci proviendraient d’autres répertoires et seraient protégés par le secret professionnel (act. 1, p. 25 ss). En outre, l’autorité d’exécution violerait également la loi en ordonnant la transmission desdits documents protégés par le secret (act. 1, p. 30 ss), ainsi que le tableau intitulé « Chrono- Unprotected-1 » (act. 1, p.32 s.).</w:t>
      </w:r>
    </w:p>
    <w:p>
      <w:r>
        <w:rPr>
          <w:b/>
        </w:rPr>
        <w:t>E. 3.3.2</w:t>
      </w:r>
    </w:p>
    <w:p>
      <w:r>
        <w:t>Comme soulevé dans l’arrêt du Tribunal pénal fédéral RR.2019.72 précité, le recourant méconnaît avant tout que la décision du Tribunal pénal fédéral</w:t>
      </w:r>
    </w:p>
    <w:p>
      <w:r>
        <w:t>- 11 -</w:t>
      </w:r>
    </w:p>
    <w:p>
      <w:r>
        <w:t>BV.2018.29 du 26 février 2019 ne porte pas sur une correspondance communiquée à un tiers, et que son affirmation selon laquelle l’ancienne jurisprudence ne peut être suivie concerne la saisie d’un double et n’est, dans le cas d’espèce, pas applicable. Dès lors, ni le recourant, ni son avocat ne peuvent se prévaloir du secret s’agissant d’écrits destinés à des tiers dont ils sont entrés en possession (ATF 117 Ia 341 consid. 6a/cc). Il n’y a, au demeurant, pas lieu de mettre en doute le procédé de la Brigade de criminalité informatique de la Police Judiciaire genevoise, mandatée par le MP-GE afin d’extraire les documents à transmettre. De même, on ne voit pas en quoi le tableau intitulé « Chrono-Unprotected-1 » s’agirait d’un document protégé par le secret professionnel étant donné qu’à la lecture du tableau, il ne ressort pas qu’il ait été produit ou destiné à l’exécution d’une activité typique du mandat d’avocat. Le recourant ne prétend pas non plus qu’il s’agisse d’un document préparé par lui-même lors d’un entretien ou d’un contact avec un avocat dans le cadre d’un mandat de défense. La seule mention de certaines terminologies juridiques ne suffit pas pour que le document soit protégé par l’art. 264 al. 1 CPP. C’est le lieu de rappeler que le secret professionnel couvre seulement les faits et documents liés à l’activité typique de l’avocat au sens de l’art. 321 CP. En outre, à la lecture du document, on ne voit pas en quoi il s’agirait d’une activité typique de l’avocat couverte par le secret professionnel, et non pas un simple pro- memoria ou un document préparé pour un ensemble de personnes. En d’autres termes, le recourant ne prouve pas que ce document est issu ou est destiné à une activité typique de l’avocat. Au vu de ce qui précède, le grief de la violation de l’art. 264 al. 1 CPP doit être rejeté.</w:t>
      </w:r>
    </w:p>
    <w:p>
      <w:r>
        <w:rPr>
          <w:b/>
        </w:rPr>
        <w:t>E. 3.4</w:t>
      </w:r>
    </w:p>
    <w:p>
      <w:r>
        <w:t>Il appartient toutefois au détenteur de faire valoir, pièce par pièce, les arguments s’opposant selon lui à leur transmission (ATF 131 II 132 consid. 2.4; 130 II 14 consid. 4). Le MP-GE doit lui impartir un délai pour ce faire. Suite à cela, l’autorité d’exécution doit rendre une décision de clôture soigneusement motivée. En l’espèce, ce procédé a été respecté. Le recourant s’est déterminé les 17 décembre 2018 (act. 1.25), 4 janvier 2019 (act. 1.26) et lors de la présente procédure, et l’autorité d’exécution a répondu aux différents griefs dans la décision attaquée, de même que dans la présente procédure, de manière suffisante pour que le recourant puisse déposer un recours en connaissance de cause.</w:t>
      </w:r>
    </w:p>
    <w:p>
      <w:r>
        <w:rPr>
          <w:b/>
        </w:rPr>
        <w:t>E. 4</w:t>
      </w:r>
    </w:p>
    <w:p>
      <w:r>
        <w:t>Le recours, irrecevable (cf. supra consid. 1.5), était ainsi dans tous les cas mal fondé.</w:t>
      </w:r>
    </w:p>
    <w:p>
      <w:r>
        <w:rPr>
          <w:b/>
        </w:rPr>
        <w:t>E. 5</w:t>
      </w:r>
    </w:p>
    <w:p>
      <w:r>
        <w:t>En règle générale, les frais de procédure comprenant l’émolument d’arrêté,</w:t>
      </w:r>
    </w:p>
    <w:p>
      <w:r>
        <w:t>- 12 -</w:t>
      </w:r>
    </w:p>
    <w:p>
      <w:r>
        <w:t>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5'000.-- (v. art. 73 al. 2 LOAP et art. 8 al. 3 du règlement du Tribunal pénal fédéral sur les frais, émoluments, dépens et indemnités de la procédure pénale fédérale du 31 août 2010 [RFPPF; RS 173.713.162] et art. 63 al. 5 PA), montant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