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RR.2019.125 vom 13. Juni 2019</w:t>
      </w:r>
    </w:p>
    <w:p>
      <w:r>
        <w:t>Bundesstrafgericht, 2019-06-13, DE</w:t>
      </w:r>
    </w:p>
    <w:p>
      <w:r>
        <w:rPr>
          <w:b/>
        </w:rPr>
        <w:t xml:space="preserve">Quelle: </w:t>
      </w:r>
      <w:r>
        <w:t>https://mcp.opencaselaw.ch/entscheid/bstger_RR.2019.125</w:t>
      </w:r>
    </w:p>
    <w:p>
      <w:r>
        <w:t>FR: TPF RR.2019.125 du 13 juin 2019</w:t>
      </w:r>
    </w:p>
    <w:p>
      <w:r>
        <w:t>IT: TPF RR.2019.125 del 13 giugno 2019</w:t>
      </w:r>
    </w:p>
    <w:p>
      <w:pPr>
        <w:pStyle w:val="Heading2"/>
      </w:pPr>
      <w:r>
        <w:t>Regeste</w:t>
      </w:r>
    </w:p>
    <w:p>
      <w:r>
        <w:t>Internationale Rechtshilfe in Strafsachen an Deutschland. Herausgabe von Beweismitteln (Art. 74 IRSG).</w:t>
      </w:r>
    </w:p>
    <w:p>
      <w:pPr>
        <w:pStyle w:val="Heading2"/>
      </w:pPr>
      <w:r>
        <w:t>Volltext</w:t>
      </w:r>
    </w:p>
    <w:p>
      <w:r>
        <w:t>Entscheid vom 13. Juni 2019 Beschwerdekammer Besetzung</w:t>
      </w:r>
    </w:p>
    <w:p>
      <w:r>
        <w:t>Bundesstrafrichter Roy Garré, Vorsitz, Andreas J. Keller und Cornelia Cova, Gerichtsschreiber Stefan Graf</w:t>
      </w:r>
    </w:p>
    <w:p>
      <w:r>
        <w:t>Parteien</w:t>
      </w:r>
    </w:p>
    <w:p>
      <w:r>
        <w:t>A., vertreten durch Rechtsanwalt Stefan V. Summ, Beschwerdeführer</w:t>
      </w:r>
    </w:p>
    <w:p>
      <w:r>
        <w:t>gegen</w:t>
      </w:r>
    </w:p>
    <w:p>
      <w:r>
        <w:t>STAATSANWALTSCHAFT DES KANTONS ZUG, Beschwerdegegnerin</w:t>
      </w:r>
    </w:p>
    <w:p>
      <w:r>
        <w:t>Gegenstand</w:t>
      </w:r>
    </w:p>
    <w:p>
      <w:r>
        <w:t>Internationale Rechtshilfe in Strafsachen an Deutschland</w:t>
      </w:r>
    </w:p>
    <w:p>
      <w:r>
        <w:t>Herausgabe von Beweismitteln (Art. 74 IRSG)</w:t>
      </w:r>
    </w:p>
    <w:p>
      <w:r>
        <w:t>B u n d e s s t r a f g e r i c h t T r i b u n a l p é n a l f é d é r a l T r i b u n a l e p e n a l e f e d e r a l e T r i b u n a l p e n a l f e d e r a l</w:t>
      </w:r>
    </w:p>
    <w:p>
      <w:r>
        <w:t>Geschäftsnummer: RR.2019.125</w:t>
      </w:r>
    </w:p>
    <w:p>
      <w:r>
        <w:t>- 2 -</w:t>
      </w:r>
    </w:p>
    <w:p>
      <w:r>
        <w:t>Die Beschwerdekammer hält fest, dass:</w:t>
      </w:r>
    </w:p>
    <w:p>
      <w:r>
        <w:t>- die Staatsanwaltschaft des Kantons Zug mit Schlussverfügung vom 6. Mai 2019 u.a. die Herausgabe von Unterlagen zu verschiedenen auf A. lauten- den Konten bei der Bank B. an die Staatsanwaltschaft Berlin bewilligte;</w:t>
      </w:r>
    </w:p>
    <w:p>
      <w:r>
        <w:t>- sie zudem die bereits zuvor angeordneten Sperren dieser Bankverbindun- gen aufrechterhielt (act. 1.1);</w:t>
      </w:r>
    </w:p>
    <w:p>
      <w:r>
        <w:t>- A. hiergegen am 5. Juni 2019 bei der Beschwerdekammer des Bundesstraf- gerichts eine Beschwerde einreichen liess (act. 1);</w:t>
      </w:r>
    </w:p>
    <w:p>
      <w:r>
        <w:t>- darin ausgeführt wird, nicht das Ergebnis der Schlussverfügung sei Gegen- stand der Beschwerde, sondern sprachliche und inhaltliche Ungenauigkeiten und Unrichtigkeiten (act. 1, S. 1);</w:t>
      </w:r>
    </w:p>
    <w:p>
      <w:r>
        <w:t>- A. nachfolgend verschiedene Änderungen der Begründung der Verfügung sowie der darin wiedergegebenen Schilderung des Sachverhalts verlangt (act. 1, S. 1 f.).</w:t>
      </w:r>
    </w:p>
    <w:p>
      <w:r>
        <w:t>Die Beschwerdekammer zieht in Erwägung, dass:</w:t>
      </w:r>
    </w:p>
    <w:p>
      <w:r>
        <w:t>- gegen Schlussverfügungen im Bereich der internationalen Rechtshilfe in Strafsachen innerhalb von 30 Tagen nach Eröffnung des Entscheids bei der Beschwerdekammer des Bundesstrafgerichts Beschwerde geführt werden kann (Art. 80e Abs. 1 und 80k IRSG);</w:t>
      </w:r>
    </w:p>
    <w:p>
      <w:r>
        <w:t>- auf Beschwerdeverfahren in internationalen Rechtshilfeangelegenheiten die Bestimmungen des VwVG anwendbar sind (Art. 39 Abs. 2 lit. b i.V.m. Art. 37 Abs. 2 lit. a Ziff. 1 StBOG), wenn das IRSG nichts anderes bestimmt (Art. 12 Abs. 1 IRSG);</w:t>
      </w:r>
    </w:p>
    <w:p>
      <w:r>
        <w:t>- zur Beschwerdeführung berechtigt ist, wer persönlich und direkt von einer Rechtshilfemassnahme betroffen ist und ein schutzwürdiges Interesse an deren Aufhebung oder Änderung hat (Art. 80h lit. b IRSG);</w:t>
      </w:r>
    </w:p>
    <w:p>
      <w:r>
        <w:t>- es sich beim «schutzwürdigen Interesse» um das Legitimationskriterium schlechthin handelt, das auch im allgemeinen Verwaltungsrecht vorausge- setzt wird (vgl. hierzu BUSSMANN, Basler Kommentar, Internationales Straf- recht, 2015, Art. 80h IRSG N. 16);</w:t>
      </w:r>
    </w:p>
    <w:p>
      <w:r>
        <w:t>- 3 -</w:t>
      </w:r>
    </w:p>
    <w:p>
      <w:r>
        <w:t>- ein solches Rechtsschutzinteresse von vornherein verneint wird, wenn sich eine Beschwerde nur gegen die Begründung einer angefochtenen Verfü- gung richtet, ohne dass eine den Beschwerdeführer begünstigende/entlas- tende Änderung des Dispositivs verlangt wird (MARANTELLI/HUBER, in: Wald- mann/Weissenberger [Hrsg.], Praxiskommentar Verwaltungsverfahrensge- setz, 2. Aufl. 2016, Art. 48 VwVG N. 15);</w:t>
      </w:r>
    </w:p>
    <w:p>
      <w:r>
        <w:t>- sich die vorliegende Beschwerde ausdrücklich nicht gegen die Herausgabe von Beweismitteln oder gegen die Aufrechterhaltung der Kontosperren, son- dern ausschliesslich gegen den Inhalt der dazugehörigen Begründung rich- tet;</w:t>
      </w:r>
    </w:p>
    <w:p>
      <w:r>
        <w:t>- der Beschwerdeführer damit kein schutzwürdiges Interesse an der Be- schwerdeführung aufweist;</w:t>
      </w:r>
    </w:p>
    <w:p>
      <w:r>
        <w:t>- der Hinweis des Beschwerdeführers auf einen möglichen Einsatz der Schlussverfügung als Beweismittel in einem nicht näher benannten Zivilver- fahren oder in einem möglicherweise noch anstehenden Strafverfahren in Deutschland vage ist und kein schutzwürdiges Interesse zu begründen ver- mag, umso mehr als die vorliegende Schlussverfügung der ersuchenden Be- hörde in Deutschland gar nicht eröffnet wird;</w:t>
      </w:r>
    </w:p>
    <w:p>
      <w:r>
        <w:t>- sich die Beschwerde damit als offensichtlich unzulässig erweist, weshalb auf diese ohne Durchführung eines Schriftenwechsels nicht einzutreten ist (Art. 57 Abs. 1 VwVG e contrario);</w:t>
      </w:r>
    </w:p>
    <w:p>
      <w:r>
        <w:t>- bei diesem Ausgang des Verfahrens die Gerichtskosten dem Beschwerde- führer aufzuerlegen sind (Art. 63 Abs. 1 VwVG);</w:t>
      </w:r>
    </w:p>
    <w:p>
      <w:r>
        <w:t>- die entsprechende Gebühr auf Fr. 500.– festzusetzen ist (Art. 63 Abs. 5 VwVG i.V.m. Art. 73 StBOG sowie Art. 5 und 8 Abs. 3 lit. b des Reglements des Bundesstrafgerichts vom 31. August 2010 über die Kosten, Gebühren und Entschädigungen in Bundesstrafverfahren [BStKR; SR 173.713.162]);</w:t>
      </w:r>
    </w:p>
    <w:p>
      <w:r>
        <w:t>- 4 -</w:t>
      </w:r>
    </w:p>
    <w:p>
      <w:r>
        <w:t>und erkennt:</w:t>
      </w:r>
    </w:p>
    <w:p>
      <w:r>
        <w:t>1. Auf die Beschwerde wird nicht eingetreten.</w:t>
      </w:r>
    </w:p>
    <w:p>
      <w:r>
        <w:t>2. Die Gerichtsgebühr von Fr. 500.– wird dem Beschwerdeführer auferlegt.</w:t>
      </w:r>
    </w:p>
    <w:p>
      <w:r>
        <w:t>Bellinzona, 13. Juni 2019</w:t>
      </w:r>
    </w:p>
    <w:p>
      <w:r>
        <w:t>Im Namen der Beschwerdekammer des Bundesstrafgerichts</w:t>
      </w:r>
    </w:p>
    <w:p>
      <w:r>
        <w:t>Der Vizepräsident: Der Gerichtsschreiber:</w:t>
      </w:r>
    </w:p>
    <w:p>
      <w:r>
        <w:t>Zustellung an</w:t>
      </w:r>
    </w:p>
    <w:p>
      <w:r>
        <w:t>- Rechtsanwalt Stefan V. Summ - Staatsanwaltschaft des Kantons Zug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