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RR.2019.111 vom 4. Dezember 2019</w:t>
      </w:r>
    </w:p>
    <w:p>
      <w:r>
        <w:t>Bundesstrafgericht, 2019-12-04, FR</w:t>
      </w:r>
    </w:p>
    <w:p>
      <w:r>
        <w:rPr>
          <w:b/>
        </w:rPr>
        <w:t xml:space="preserve">Quelle: </w:t>
      </w:r>
      <w:r>
        <w:t>https://mcp.opencaselaw.ch/entscheid/bstger_RR.2019.111</w:t>
      </w:r>
    </w:p>
    <w:p>
      <w:r>
        <w:t>FR: TPF RR.2019.111 du 4 décembre 2019</w:t>
      </w:r>
    </w:p>
    <w:p>
      <w:r>
        <w:t>IT: TPF RR.2019.111 del 4 dicembre 2019</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des relations bancaires visées par la décision querellée, la recourante a qualité pour attaquer celle-ci.</w:t>
      </w:r>
    </w:p>
    <w:p>
      <w:r>
        <w:rPr>
          <w:b/>
        </w:rPr>
        <w:t>E. 1.6</w:t>
      </w:r>
    </w:p>
    <w:p>
      <w:r>
        <w:t>Compte tenu de ce qui précède, il convient d’entrer en matière sur le fond.</w:t>
      </w:r>
    </w:p>
    <w:p>
      <w:r>
        <w:rPr>
          <w:b/>
        </w:rPr>
        <w:t>E. 2.1</w:t>
      </w:r>
    </w:p>
    <w:p>
      <w:r>
        <w:t>Dans un grief qu’il convient de traiter en premier lieu compte tenu de sa nature formelle, la recourante dénonce une violation de son droit d’être entendue dans la mesure où la motivation de la décision de clôture serait lacunaire (act. 1, p. 7-8).</w:t>
      </w:r>
    </w:p>
    <w:p>
      <w:r>
        <w:t>- 5 -</w:t>
      </w:r>
    </w:p>
    <w:p>
      <w:r>
        <w:rPr>
          <w:b/>
        </w:rPr>
        <w:t>E. 2.2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2.3</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t>- 6 -</w:t>
      </w:r>
    </w:p>
    <w:p>
      <w:r>
        <w:rPr>
          <w:b/>
        </w:rPr>
        <w:t>E. 2.4</w:t>
      </w:r>
    </w:p>
    <w:p>
      <w:r>
        <w:t>Selon la recourante, l’Office USA n’examine pas les arguments soulevés dans ses observations du 7 février 2019, notamment celui selon lequel l’art. 10 al. 2 TEJUS lui serait applicable. Par ailleurs, elle soutient que ladite décision n’est pas suffisamment motivée et ce, notamment, en tant qu’elle n’analyse pas en détail les éléments objectifs constitutifs de chaque infraction qui serait réalisée en vertu du droit suisse, qu’elle n’explique pas en quoi les faits détaillés dans la demande d’entraide suffiraient à examiner la condition de la double incrimination, qu’elle n’entre pas en discussion à propos de l’infraction de corruption (act.1, p. 32), qu’elle n’a pas suffisamment justifié le lien entre les comptes de la recourante et l’enquête (act. 1, p. 36) et finalement qu’elle n’a pas justifié le rejet de la proposition alternative formulée par la recourante (act. 1, p. 36).</w:t>
      </w:r>
    </w:p>
    <w:p>
      <w:r>
        <w:rPr>
          <w:b/>
        </w:rPr>
        <w:t>E. 2.5</w:t>
      </w:r>
    </w:p>
    <w:p>
      <w:r>
        <w:t>En l’espèce, la décision de l’Office USA respecte les exigences requises en matière de motivation. En effet, l’Office USA expose les motifs justifiant, selon lui, la transmission à l’autorité requérante.</w:t>
      </w:r>
    </w:p>
    <w:p>
      <w:r>
        <w:t>Dans la décision de clôture, l’Office USA a au préalable renvoyé à sa décision d’entrée en matière dans laquelle il a déjà examiné les conditions de recevabilité et de double incrimination. Après avoir rappelé les arguments qu’a fait valoir la recourante dans ses observations du 7 février 2019, l’Office USA a ensuite illustré la jurisprudence relative au degré de précision exigé quant à l’exposé des faits accompagnants la demande d’entraide et est arrivé à la conclusion qu’« en l’espèce, l’état de fait présenté par les autorités américaines dans ses deux demandes remplit parfaitement les exigences de l’art. 29 TEJUS et est suffisant pour examiner la condition de la double incrimination » (v. act. 1.2). Cette argumentation est dès lors suffisante et répond aux objections de la recourante.</w:t>
      </w:r>
    </w:p>
    <w:p>
      <w:r>
        <w:t>S’agissant de l’examen de la condition de la double incrimination, l’Office USA a rappelé qu’en matière de blanchiment de simples soupçons concrets suffisent. Il a ensuite examiné s’il existe dans le cas d’espèce une série d’indices permettant de soupçonner qu’une telle infraction serait réalisée en vertu du droit suisse pour en arriver à la conclusion que tel était bien le cas. L’autorité a analysé par la suite les différentes infractions en les mettant en relation avec les faits décrits dans la demande d’entraide. De plus, en indiquant que le contrat de prêt conclu par E. SA l’aurait été au moyen de paiements corruptifs à des agents publics de E. SA, et que B. lui-même pourrait, sur la base de l’état de fait présenté par l’autorité requérante, se voir imputer l’infraction de corruption privée passive au sens de l’art. 322novies CP, ce au dépens de H. SA, l’Office USA a exposé pourquoi les infractions de corruptions étaient, prima facie, réalisées. L’autorité requise n’étant aucunement contrainte d’examiner en détail les éléments objectifs</w:t>
      </w:r>
    </w:p>
    <w:p>
      <w:r>
        <w:t>- 7 -</w:t>
      </w:r>
    </w:p>
    <w:p>
      <w:r>
        <w:t>constitutifs de chaque infraction potentiellement réalisée en vertu du droit suisse mais étant tenue, au contraire, de procéder à un examen prima facie (cf. infra, consid. 4.2), l’Office USA a dès lors effectué un examen adéquat du critère de la double incrimination.</w:t>
      </w:r>
    </w:p>
    <w:p>
      <w:r>
        <w:t>Quant au principe de proportionnalité, l’Office USA a énoncé les différents éléments qui lient la recourante à l’enquête initiée par les Etats-Unis et en a conclu qu’il existait un lien de connexité suffisant. Il a ainsi exposé pourquoi, selon lui, les différents virements étaient liés à l’enquête étrangère, justifiant la transmission de l’ensemble de la documentation bancaire, et non seulement se limiter aux documents concernant la transaction suspecte.</w:t>
      </w:r>
    </w:p>
    <w:p>
      <w:r>
        <w:t>Finalement, tel que rappelé précédemment (v. supra, consid. 2.3), l’autorité d’exécution se doit de mentionner brièvement les motifs qui ont conduit à sa décision sans avoir l’obligation de se prononcer sur chaque argument soulevé par la recourante. Contrairement à ce que prétend la recourante, l’autorité n’a donc pas violé son droit d’être entendue en n’examinant pas exhaustivement les arguments qu’elle a dans ses observations du 7 février 2019, notamment celui selon lequel l’art. 10 al. 2 TEJUS viendrait à s’appliquer.</w:t>
      </w:r>
    </w:p>
    <w:p>
      <w:r>
        <w:t>S’il avait finalement fallu arriver à la conclusion que le droit d’être entendu de la recourante avait été violé, ce défaut aurait dans tous les cas été remédié dans la procédure de recours, la Cour de céans disposant d’un libre pouvoir d’appréciation (v. art. 49 PA et TPF 2008 172 consid. 2.3). Dès lors que la recourante a eu connaissance de tous les éléments nécessaires pour contester valablement la décision de clôture, ce qui est d’ailleurs attesté par son recours passablement détaillé, le grief doit être rejeté.</w:t>
      </w:r>
    </w:p>
    <w:p>
      <w:r>
        <w:rPr>
          <w:b/>
        </w:rPr>
        <w:t>E. 3.1</w:t>
      </w:r>
    </w:p>
    <w:p>
      <w:r>
        <w:t>La recourante se plaint ensuite d’une violation de l’art. 29 TEJUS. La demande d’entraide du DOJ ne comporterait aucun élément concret permettant d’établir l’illicéité du contrat de prêt conclu entre E. SA et d’autres entreprises (act. 1 p. 12); elle ne contiendrait aucun élément prouvant les actes de blanchiment reprochés (act. 1, p. 27-28); la demande serait lacunaire et vague quant aux soupçons portant sur l’infraction de corruption (act. 1, p. 28-32); enfin il n’y aurait pas d’élément permettant de supposer l’existence d’un lien entre les virements bancaires visant à corrompre certains fonctionnaires de E. SA et les comptes bancaires de la recourante (act. 1, p. 32).</w:t>
      </w:r>
    </w:p>
    <w:p>
      <w:r>
        <w:t>- 8 -</w:t>
      </w:r>
    </w:p>
    <w:p>
      <w:r>
        <w:rPr>
          <w:b/>
        </w:rPr>
        <w:t>E. 3.2</w:t>
      </w:r>
    </w:p>
    <w:p>
      <w:r>
        <w:t>Selon l’art. 29 par. 1 TEJUS, l’Etat requérant mentionne l’autorité chargée de l’enquête. Si cela lui est possible, il indique également l’objet et la nature des investigations, et une description des principaux faits allégués ou à 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(ZIMMERMANN, op. cit., 5e éd. 2019, n° 294, p. 313 s.).</w:t>
      </w:r>
    </w:p>
    <w:p>
      <w:r>
        <w:rPr>
          <w:b/>
        </w:rPr>
        <w:t>E. 3.3</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p. 312).</w:t>
      </w:r>
    </w:p>
    <w:p>
      <w:r>
        <w:t>Le contenu des demandes étrangères relatives au blanchissage d’argent sont soumis à des exigences particulières. Elles ne doivent pas nécessairement contenir la preuve de la commission de ce délit ou de l’infraction principale. Pour être considérée comme suffisante au regard de la condition de la double incrimination, il suffit que la demande s’appuie sur des soupçons considérés objectivement, relevant de l’ensemble des</w:t>
      </w:r>
    </w:p>
    <w:p>
      <w:r>
        <w:t>- 9 -</w:t>
      </w:r>
    </w:p>
    <w:p>
      <w:r>
        <w:t>circonstances, tel que des transactions faites sans justification apparente, pour des montants importants, par le truchement de sociétés disséminées dans plusieurs pays. En outre, la pratique tend à exiger de l’Etat requérant qu’il explique en quoi les fonds dont on présume le blanchissage proviennent d’une infraction préalable (ZIMMERMANN, op. cit., n° 602, p. 647 s.).</w:t>
      </w:r>
    </w:p>
    <w:p>
      <w:r>
        <w:rPr>
          <w:b/>
        </w:rPr>
        <w:t>E. 3.4</w:t>
      </w:r>
    </w:p>
    <w:p>
      <w:r>
        <w:t>En l’espèce, les autorités américaines indiquent, dans leur requête du 13 mars 2018 et son complément du 25 mai 2018, que leur démarche s’inscrit dans le cadre d’une enquête dirigée contre B., C. ainsi que D. pour des faits s’étant déroulés entre 2012 et 2014. Elles précisent être « en train de mener une enquête afin de savoir si les individus et entités concernés ont utilisé des banques suisses et américaines afin de blanchir des devises étrangères utilisées par certains membres du gouvernement et d’autres personnes dans le but de détourner les réserves de devises étrangères du Venezuela » (dossier électronique de l’Office USA, doc. 1). La demande explique de même que les faits reprochés à B., C. et D. sont constitutifs aux Etats-Unis de complot de blanchiment d’argent et de fraude informatique. Les autorités américaines sollicitent dans leur demande d’entraide d’arranger un entretien avec un témoin en fournissant une liste de questions détaillée en annexe. Elles demandent également à l’Office USA de leur fournir la documentation bancaire complète allant du 1er janvier 2012 jusqu’à la date de la demande d’assistance des comptes listés dans la requête complémentaire du 25 mai 2018, notamment le compte ouvert au nom de A. B.V. après de G. SA. En mentionnant la nature de l’enquête, les personnes faisant l’objet de l’enquête, les infractions reprochées dans l’Etat requérant ainsi que les renseignements demandés, la demande d’entraide ainsi que son complément respectent dès lors, contrairement à ce que la recourante soutient, les exigences de l’art. 29 par. 1 TEJUS. Les arguments supplémentaires soulevés par la recourante seront analysés sous l’angle de la double incrimination (v. infra, consid. 4).</w:t>
      </w:r>
    </w:p>
    <w:p>
      <w:r>
        <w:rPr>
          <w:b/>
        </w:rPr>
        <w:t>E. 3.5</w:t>
      </w:r>
    </w:p>
    <w:p>
      <w:r>
        <w:t>L’argument tiré de la violation de l’art. 29 TEJUS se révèle ainsi mal fondé et doit être rejeté.</w:t>
      </w:r>
    </w:p>
    <w:p>
      <w:r>
        <w:rPr>
          <w:b/>
        </w:rPr>
        <w:t>E. 4.1</w:t>
      </w:r>
    </w:p>
    <w:p>
      <w:r>
        <w:t>La recourante invoque ensuite une violation du principe de la double incrimination en relation avec l’infraction de blanchiment d’argent. En effet, d’après son expérience approfondie du marché vénézuélien, la recourante estime que le fait de conclure un contrat prévoyant le prêt de bolivars par une société vénézuélienne à E. SA puis le remboursement en dollars – au taux préférentiel fixé par le Vénézuela – par l’entreprise pétrolière à une société domiciliée à l’étranger seraient une pratique courante et légale</w:t>
      </w:r>
    </w:p>
    <w:p>
      <w:r>
        <w:t>- 10 -</w:t>
      </w:r>
    </w:p>
    <w:p>
      <w:r>
        <w:t>(act. 1, p. 8 s.). Partant, l’infraction préalable n’étant pas donnée, il n’y aurait pas de blanchiment d’argent.</w:t>
      </w:r>
    </w:p>
    <w:p>
      <w:r>
        <w:rPr>
          <w:b/>
        </w:rPr>
        <w:t>E. 4.2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op. cit., 5e éd. 2019, n° 581, p. 622 s.).</w:t>
      </w:r>
    </w:p>
    <w:p>
      <w:r>
        <w:rPr>
          <w:b/>
        </w:rPr>
        <w:t>E. 4.3</w:t>
      </w:r>
    </w:p>
    <w:p>
      <w:r>
        <w:t>En l’espèce, les autorités américaines indiquent, à l’appui de leur requête, soupçonner un stratagème par lequel, sous le couvert d’un contrat de prêt, plusieurs sociétés écrans prêtaient des bolivars à E. SA et se faisaient rembourser en dollars à un taux de change fixe avantageux. Ce contrat de</w:t>
      </w:r>
    </w:p>
    <w:p>
      <w:r>
        <w:t>- 11 -</w:t>
      </w:r>
    </w:p>
    <w:p>
      <w:r>
        <w:t>prêt aurait été obtenu grâce aux versements de pots-de-vin à des officiels vénézuéliens. B., C. et D. auraient ouvert des comptes, notamment en Suisse, afin de recevoir le remboursement en dollars de E. SA et de blanchir ces montants. C. et D. sont propriétaires de F. Ltd, société qui a effectué un virement à hauteur de USD 34,9 millions sur le compte de A. B.V. le 21 mars 2013. Force est ainsi de constater que les faits décrits dans la demande sont suffisamment étayés pour les qualifier, a priori, en droit pénal suisse de blanchiment d’argent (art. 305bis CP), de gestion déloyale des intérêts publics (art. 314 CP) ainsi que de corruption privée passive (art. 305novies CP). Comme il a été rappelé précédemment (v. consid. 3.2), l’entraide a pour but d’éclaircir et d’établir des faits que l’autorité requérante n’a pas encore réussi à élucider. Contrairement à ce que la recourante soutient, il n’est donc en aucun cas requis que la demande d’entraide apporte la preuve absolue des faits qu’elle allègue. Par ailleurs, l’examen de la licéité du contrat de prêt incombe au juge pénal du fond et non pas à l’autorité d’entraide. Contrairement à l’argumentation soutenue par la recourante, il appartiendra aux autorités étasuniennes, et non aux autorités suisses, de se prononcer quant à la licéité du contrat de prêt en question.</w:t>
      </w:r>
    </w:p>
    <w:p>
      <w:r>
        <w:t>A supposer qu’il n’y ait pas d’infraction préalable et, partant, pas de blanchiment d’argent, la condition de la double incrimination serait de toute manière respectée étant donné que le complexe de fait décrit dans la demande d’entraide se réfère à des infractions de corruption privée passive et de gestion déloyale des intérêts publics. Il suffit en effet que la condition de la double incrimination soit réalisée concernant une des infractions décrite dans la demande d’entraide pour que la condition soit respectée pour la demande dans son ensemble (cf. supra, consid. 4.2).</w:t>
      </w:r>
    </w:p>
    <w:p>
      <w:r>
        <w:rPr>
          <w:b/>
        </w:rPr>
        <w:t>E. 4.4</w:t>
      </w:r>
    </w:p>
    <w:p>
      <w:r>
        <w:t>Le grief de la violation du principe de la double incrimination est donc mal fondé.</w:t>
      </w:r>
    </w:p>
    <w:p>
      <w:r>
        <w:rPr>
          <w:b/>
        </w:rPr>
        <w:t>E. 5.1</w:t>
      </w:r>
    </w:p>
    <w:p>
      <w:r>
        <w:t>La recourante se plaint également d’une violation du principe de la proportionnalité (act. 1, p. 33 ss). Selon elle, il n’existerait aucun lien entre les comptes ouverts à son nom et l’enquête menée aux Etats-Unis, hormis le seul virement de USD 34'900'000. -- vers le 21 mars 2013.</w:t>
      </w:r>
    </w:p>
    <w:p>
      <w:r>
        <w:rPr>
          <w:b/>
        </w:rPr>
        <w:t>E. 5.2</w:t>
      </w:r>
    </w:p>
    <w:p>
      <w:r>
        <w:t>Selon la jurisprudence relative au principe de la proportionnalité, lequel découle de l’art. 63 al. 1 EIMP, la question de savoir si les renseignements demandés sont nécessaires ou simplement utiles à la procédure pénale est</w:t>
      </w:r>
    </w:p>
    <w:p>
      <w:r>
        <w:t>- 12 -</w:t>
      </w:r>
    </w:p>
    <w:p>
      <w:r>
        <w:t>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5e éd. 2019, n° 723 s.).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w:t>
      </w:r>
    </w:p>
    <w:p>
      <w:r>
        <w:t>- 13 -</w:t>
      </w:r>
    </w:p>
    <w:p>
      <w:r>
        <w:t>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5.3</w:t>
      </w:r>
    </w:p>
    <w:p>
      <w:r>
        <w:t>Tout en admettant l’existence des virements de la part de F. Ltd, I. SA et J. SA sur son compte, sociétés qui sont également sous enquête aux USA, la recourante nie être liée avec le complexe de faits décrit dans la demande d’entraide. Elle explique que, n’ayant plus suffisamment de liquidités pour payer la somme convenue à E. SA en lien avec un contrat de Joint-Venture, elle aurait conclu un contrat de prêt avec K. Corp. afin que cette dernière opère le versement à sa place. K. Corp., également en manque de liquidités, aurait mandaté diverses sociétés (F. Ltd, I SA, J. SA et L. Corp.) afin qu’elles accomplissement le versement à E. SA. La recourante affirme qu’elle n’aurait pas été au courant du fait que K. Corp. aurait sous-mandaté des tiers pour exécuter le contrat de prêt, et en conclut que l’art. 10 al. 2 TEJUS lui est applicable et que, par conséquent, aucune information relative à ses comptes ne doit être transmise à l’autorité requérante (act. 1, p. 38 ss). La recourante énumère ensuite les documents qui ne seraient d’aucune utilité à l’enquête étrangère (act. 1, p. 41 ss). Finalement, elle conclut que, si l’entraide devait être accordée, elle devrait se limiter aux documents relatifs à l’ouverture des comptes ainsi qu’au virement de F. Ltd mais qu’elle</w:t>
      </w:r>
    </w:p>
    <w:p>
      <w:r>
        <w:t>- 14 -</w:t>
      </w:r>
    </w:p>
    <w:p>
      <w:r>
        <w:t>considère que tout partage de document supplémentaire constituerait une fishing expedition (act. 1, p. 52 ss).</w:t>
      </w:r>
    </w:p>
    <w:p>
      <w:r>
        <w:rPr>
          <w:b/>
        </w:rPr>
        <w:t>E. 5.4</w:t>
      </w:r>
    </w:p>
    <w:p>
      <w:r>
        <w:t>Selon la demande d’entraide et son complément du 25 mai 2018, les autorités étasuniennes enquêtent notamment sur les agissements de C. et D., soupçonnés de collusion aux fins de blanchir de l’argent et de fraude électronique dans une période allant de 2012 à 2014. Ces derniers sont propriétaires et gérants, entre autres, de F. Ltd, société soupçonnée d’avoir joué un rôle central dans les faits incriminés. Il a été démontré que F. Ltd est à l’origine du virement d’environ 34,9 million de dollars à destination d’un compte (n° 1) appartenant à A. B.V. aux autours du 21 mars 2013. De plus, le compte n° 2, détenu par A. B.V., a pour ayant droit économique M. et N., des personnes qui sont également les ayants droit économiques d’autres relations bancaires intéressant l’autorité requérante. Le lien entre les comptes bancaires de la recourante et l’enquête américaine est dès lors évident et toutes les données y relatives présentent manifestement un intérêt pour l’autorité requérante, d’autant plus qu’elle a sollicité expressément les informations relatives aux comptes de la recourante, après avoir elle-même identifié le virement litigieux. Partant, il n’apparait pas disproportionné, mais au contraire conforme au principe de l’utilité potentielle, que l’autorité requérante veuille vérifier qu’il n’y ait pas d’autres mouvements de fonds que celui du 21 mars 2013 sur les comptes de A. B.V. De plus, même à supposer, comme le soutient la recourante, que ses comptes n’auraient pas pu servi à recevoir le produit d’infractions pénales ni à opérer des virements illicites ou blanchir des fonds, l’autorité requérante n’en dispose pas moins d’un intérêt à le vérifier elle-même afin, d’établir la vérité,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Le même raisonnement est applicable à l’argument selon lequel la recourante n’aurait eu aucune influence sur l’existence et le choix des sous-mandataires. Ainsi, les développements effectués par la recourante relatifs à la nature du prêt et sa licéité sont irrelevants pour la procédure d’entraide et doivent être réservés au juge du fond.</w:t>
      </w:r>
    </w:p>
    <w:p>
      <w:r>
        <w:rPr>
          <w:b/>
        </w:rPr>
        <w:t>E. 5.5</w:t>
      </w:r>
    </w:p>
    <w:p>
      <w:r>
        <w:t>Le grief de la violation du principe de la proportionnalité est donc mal fondé.</w:t>
      </w:r>
    </w:p>
    <w:p>
      <w:r>
        <w:t>6. Il s’ensuit que le recours est mal fondé et doit, partant, être rejeté.</w:t>
      </w:r>
    </w:p>
    <w:p>
      <w:r>
        <w:t>- 15 -</w:t>
      </w:r>
    </w:p>
    <w:p>
      <w:r>
        <w:t>7.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couverts par l’avance de frais effectuée.</w:t>
      </w:r>
    </w:p>
    <w:p>
      <w:r>
        <w:t>- 16 -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