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RR.2019.11 vom 18. April 2019</w:t>
      </w:r>
    </w:p>
    <w:p>
      <w:r>
        <w:t>Bundesstrafgericht, 2019-04-18, FR</w:t>
      </w:r>
    </w:p>
    <w:p>
      <w:r>
        <w:rPr>
          <w:b/>
        </w:rPr>
        <w:t xml:space="preserve">Quelle: </w:t>
      </w:r>
      <w:r>
        <w:t>https://mcp.opencaselaw.ch/entscheid/bstger_RR.2019.11</w:t>
      </w:r>
    </w:p>
    <w:p>
      <w:r>
        <w:t>FR: TPF RR.2019.11 du 18 avril 2019</w:t>
      </w:r>
    </w:p>
    <w:p>
      <w:r>
        <w:t>IT: TPF RR.2019.11 del 18 aprile 2019</w:t>
      </w:r>
    </w:p>
    <w:p>
      <w:pPr>
        <w:pStyle w:val="Heading2"/>
      </w:pPr>
      <w:r>
        <w:t>Regeste</w:t>
      </w:r>
    </w:p>
    <w:p>
      <w:r>
        <w:t>Entraide judiciaire internationale en matière pénale aux Etats-Unis.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w:t>
      </w:r>
    </w:p>
    <w:p>
      <w:r>
        <w:rPr>
          <w:b/>
        </w:rPr>
        <w:t>E. 1.2</w:t>
      </w:r>
    </w:p>
    <w:p>
      <w:r>
        <w:t>La loi du 20 mars 1981 sur l’entraide internationale en matière pénale (EIMP; RS 351.1) et son ordonnance d’exécution (OEIMP; RS 351.11) s’appliquent toutefois aux questions non réglées, explicitement ou implicitement, par le</w:t>
      </w:r>
    </w:p>
    <w:p>
      <w:r>
        <w:t>- 4 -</w:t>
      </w:r>
    </w:p>
    <w:p>
      <w:r>
        <w:t>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1.3</w:t>
      </w:r>
    </w:p>
    <w:p>
      <w:r>
        <w:t>En vertu de l’art. 17 al. 1 LTEJUS, peuvent faire l’objet d’un recours devant la Cour des plaintes du Tribunal pénal fédéral, la décision de l’Office USA relative à la clôture de la procédure d’entraide et, conjointement, les décisions incidentes antérieures de l’autorité d’exécution.</w:t>
      </w:r>
    </w:p>
    <w:p>
      <w:r>
        <w:rPr>
          <w:b/>
        </w:rPr>
        <w:t>E. 1.4</w:t>
      </w:r>
    </w:p>
    <w:p>
      <w:r>
        <w:t>Interjeté dans le délai de 30 jours dès la notification de la décision attaquée (art. 17c LTEJUS), le recours a été déposé en temps utile.</w:t>
      </w:r>
    </w:p>
    <w:p>
      <w:r>
        <w:rPr>
          <w:b/>
        </w:rPr>
        <w:t>E. 1.5</w:t>
      </w:r>
    </w:p>
    <w:p>
      <w:r>
        <w:t>Selon l’art. 17a LTEJUS, a qualité pour recourir quiconque est personnellement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documents font l’objet de la décision de clôture.</w:t>
      </w:r>
    </w:p>
    <w:p>
      <w:r>
        <w:t>En tant que titulaire des relations bancaires visées par la décision querellée, la recourante a qualité pour attaquer celle-ci.</w:t>
      </w:r>
    </w:p>
    <w:p>
      <w:r>
        <w:rPr>
          <w:b/>
        </w:rPr>
        <w:t>E. 1.6</w:t>
      </w:r>
    </w:p>
    <w:p>
      <w:r>
        <w:t>Compte tenu de ce qui précède, il convient d’entrer en matière sur le fond.</w:t>
      </w:r>
    </w:p>
    <w:p>
      <w:r>
        <w:rPr>
          <w:b/>
        </w:rPr>
        <w:t>E. 2.1</w:t>
      </w:r>
    </w:p>
    <w:p>
      <w:r>
        <w:t>Dans un grief qu’il convient de traiter en premier lieu compte tenu de sa nature formelle, la recourante dénonce une violation de son droit d’être entendue, et ce à plusieurs titres. Elle n’aurait pas eu l’occasion de participer à la procédure, elle aurait bénéficié d’un délai de recours de facto raccourci et n’aurait pas eu accès au dossier complet. De plus, l’Office USA aurait refusé, sans justes motifs, la mise sous scellés requise par la recourante (act. 1, p. 7 ss).</w:t>
      </w:r>
    </w:p>
    <w:p>
      <w:r>
        <w:rPr>
          <w:b/>
        </w:rPr>
        <w:t>E. 2.2</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w:t>
      </w:r>
    </w:p>
    <w:p>
      <w:r>
        <w:t>- 5 -</w:t>
      </w:r>
    </w:p>
    <w:p>
      <w:r>
        <w:t>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2.3</w:t>
      </w:r>
    </w:p>
    <w:p>
      <w:r>
        <w:t>Le droit du particulier de s’exprimer avant qu’une décision le concernant ne soit prise découle de ce droit (arrêt du Tribunal pénal fédéral RR.2009.294 du 7 octobre 2009 consid. 3.1.1). Il en va de même du droit du particulier de recevoir la décision qui le concerne (ATF 124 II 124 consid. 2a p. 127; 107 Ib 170 consid. 3 p. 175/176 et les références citées). La participation du détenteur au tri des pièces à remettre à l'Etat requérant découle entre autres de ce droit (ATF 129 I 85 consid. 4.1 et références citées; arrêts du Tribunal fédéral 6B_397/2012 du 20 septembre 2012 consid. 1.2; 8C_509/2011 du 26 juin 2012 consid. 2.2; arrêt du Tribunal pénal fédéral RR.2009.294 du</w:t>
      </w:r>
    </w:p>
    <w:p>
      <w:r>
        <w:rPr>
          <w:b/>
        </w:rPr>
        <w:t>E. 2.4.1</w:t>
      </w:r>
    </w:p>
    <w:p>
      <w:r>
        <w:t>Selon la recourante, l’Office USA ne lui aurait pas donné la possibilité de s’exprimer, d’une part, à propos de la demande d’entraide en général, d’autre part, à propos de la transmission de la documentation bancaire dont il est question (act. 1, p. 7-8). La notification faite uniquement à la banque ne serait pas suffisante, car celle-ci et la recourante se seraient mises d’accord sur les modalités de communication. De son côté, l’Office USA soutient que la notification effectuée à E. SA serait suffisante et que c’était à la banque d’en informer sa cliente, dès lors que la recourante n’est pas domiciliée en Suisse et n’a pas élu domicile en suisse (act. 2, p. 4). En outre, selon l’Office USA, une convention de banque restante ne vaudrait pas élection de domicile au sens de l’art. 80m al. 1 let. b EIMP, et la cliente supporterait donc les conséquences si la banque ne devait pas l’avertir.</w:t>
      </w:r>
    </w:p>
    <w:p>
      <w:r>
        <w:rPr>
          <w:b/>
        </w:rPr>
        <w:t>E. 2.4.2</w:t>
      </w:r>
    </w:p>
    <w:p>
      <w:r>
        <w:t>En application du principe du droit d’être entendu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(1ère phrase). A défaut, la notification peut être omise (2e phrase).</w:t>
      </w:r>
    </w:p>
    <w:p>
      <w:r>
        <w:t>Dans les cas où la décision de clôture et/ou la décision d'entrée en matière est notifiée à un établissement bancaire en l'absence d'une notification formelle à l'intéressé, la jurisprudence considère que, lorsque le titulaire du compte a conclu une convention dite de « banque restante », le délai de recours commence à courir dès le lendemain du dépôt de la décision dans le dossier de « banque restante » (ATF 124 II 124 consid. 2e). En effet, le lien entre la banque et le titulaire relève du mandat. En vertu de l'obligation de reddition de comptes, la banque doit renseigner le client et l'informer de tous les faits qui sont susceptibles d'avoir un impact sur la relation</w:t>
      </w:r>
    </w:p>
    <w:p>
      <w:r>
        <w:t>- 7 -</w:t>
      </w:r>
    </w:p>
    <w:p>
      <w:r>
        <w:t>contractuelle (arrêt du Tribunal pénal fédéral RR.2016.24 du 27 avril 2016 consid. 2.2 et références citées). Il peut être attendu de la banque qu'elle informe le titulaire de la relation saisie afin que l'intéressé puisse se déterminer sur la conduite à tenir (ATF 130 IV 43 consid. 1.3 et références citées). Si la banque n'a pas informé à temps le titulaire du compte des décisions rendues ou qu'elle n'a pas pu le faire faute d'adresse valable, c'est au titulaire du compte d'en assumer les conséquences. Dans ce cas, il n'y a pas de violation du droit d'être entendu (arrêt du Tribunal pénal fédéral RR.2010.85 du 14 février 2011 consid. 4.2 et références citées). Si le client a indiqué à la banque qu'il ne souhaitait pas recevoir les communications que la banque doit lui adresser mais que celles-ci doivent être conservées par la banque dans son dossier (clause « banque restante »), chaque communication effectuée « banque restante » est réputée valablement notifiée et lui est opposable comme s'il l'avait personnellement reçue.</w:t>
      </w:r>
    </w:p>
    <w:p>
      <w:r>
        <w:rPr>
          <w:b/>
        </w:rPr>
        <w:t>E. 2.4.3</w:t>
      </w:r>
    </w:p>
    <w:p>
      <w:r>
        <w:t>En l’occurrence, il ressort des pièces versées au dossier que la banque et la recourante ont conclu une convention de « banque restante ». La première a, alors, l’obligation de conserver toute la correspondance du client (« All correspondance, without exception, should be retained by the Bank as “hold mail” […] »; act. 1.7). Dès lors que la recourante et la banque sont liées par une convention dite de « banque restante », les communications notifiées à la banque et déposées dans le dossier de « banque restante » sont opposables au client comme s’ils les avait effectivement reçues (ATF 124 II 124 consid. 2e). L’obligation de confidentialité a été levée le 12 octobre 2018 par une notification à E. SA, celle-ci étant également en possession de la demande initiale, de la demande complémentaire ainsi que de la décision d’entrée en matière (act. 7, p. 2; 7.5). Rien ne permet de douter que E. SA ait bien reçu dites notifications et les ait notifiés au dossier banque restante, ce que la recourante ne conteste d’ailleurs pas. La décision de clôture a quant à elle été rendue le 21 décembre 2018 (act. 7.6). Plus de deux mois se sont donc écoulés entre ces deux actes sans que la recourante, domiciliée à l’étranger, ne se soit manifestée. Partant, au vu des considérants ci-dessus (cf. supra, consid. 2.4.2), il était du devoir de la banque d’avertir son client, et ce dernier d’assumer les conséquences d’une omission de la banque. C’est dès lors à juste titre que l’Office USA a communiqué la décision d’entrée en matière, la levée de confidentialité et la décision de clôture uniquement à la banque. Une personne visée par une procédure d’entraide en Suisse a le devoir de se manifester auprès de l’autorité d’exécution dès qu’elle a connaissance de ladite procédure. Il ressort de la jurisprudence que l’intérêt public lié à une exécution rapide des décisions relatives à l’entraide internationale (art. 17a EIMP), de même que le respect des règles de la bonne foi, imposent à celui qui entend prendre part à ladite procédure qu’il se manifeste sans délai (v. ATF 124 II 124</w:t>
      </w:r>
    </w:p>
    <w:p>
      <w:r>
        <w:t>- 8 -</w:t>
      </w:r>
    </w:p>
    <w:p>
      <w:r>
        <w:t>consid. 2d/dd p. 130). La recourante, qui ne s’est par conséquent pas prononcée sur la demande d’entraide en général alors que rien indique qu’elle en aurait été empêchée, et, plus spécifiquement, sur la transmission des documents dont il est question, ne peut pas se prévaloir d’une violation de son droit d’être entendue. Celui-ci doit, sous cet angle, être rejeté.</w:t>
      </w:r>
    </w:p>
    <w:p>
      <w:r>
        <w:rPr>
          <w:b/>
        </w:rPr>
        <w:t>E. 2.4.4</w:t>
      </w:r>
    </w:p>
    <w:p>
      <w:r>
        <w:t>Dès lors que l’Office USA a respecté la procédure de notification de la décision pour un titulaire n’ayant pas élu de domicile en Suisse, l’argument de la recourante, selon lequel le délai de recours aurait – de facto – été raccourci (act. 1, p. 11), tombe à faux, tout comme l’argument selon lequel l’Office USA ne lui aurait pas donné la possibilité de s’exprimer. Quoi qu’il en soit, même en voulant admettre l’hypothèse d’une violation du droit d’être entendu, ce qui, en l’espèce, est manifestement à écarter, une telle violation aurait été réparée dans le cours de la présente procédure (v. supra consid. 2.3 in fine).</w:t>
      </w:r>
    </w:p>
    <w:p>
      <w:r>
        <w:rPr>
          <w:b/>
        </w:rPr>
        <w:t>E. 2.5.1</w:t>
      </w:r>
    </w:p>
    <w:p>
      <w:r>
        <w:t>La recourante soutient ensuite que l’Office USA aurait, de façon injustifiée, refusé de procéder à la mise sous scellés des documents la concernant (act. 7.10). L’Office USA retient que dite demande serait sans objet dès lors que la phase d’exécution était déjà terminée et que, de toute manière, seule la banque, en tant que détentrice, aurait pu solliciter la pose de scellés. Partant la révocation de la décision de clôture devrait être refusée (act. 7, p. 2 et 3).</w:t>
      </w:r>
    </w:p>
    <w:p>
      <w:r>
        <w:rPr>
          <w:b/>
        </w:rPr>
        <w:t>E. 2.5.2</w:t>
      </w:r>
    </w:p>
    <w:p>
      <w:r>
        <w:t>Contrairement à ce que l’Office USA prétend, la recourante serait légitimée à solliciter la mise sous scellés. En effet, le message du Conseil fédéral à propos de l’art. 248 al. 1 CPP (applicable par renvoi de l’art. 9 EIMP) fait mention d’une interprétation élargie du terme « détenteur ». La personne qui est autorisée à disposer des documents concernés par la mise sous scellés, notamment le titulaire du compte bancaire, doit également être considérée comme « détenteur » et peut, par conséquent, demander la mise sous scellés (ATF 140 IV 28 consid. 4.3.3 et les références citées).</w:t>
      </w:r>
    </w:p>
    <w:p>
      <w:r>
        <w:t>Cependant, la requête de la recourante doit de toute manière être rejetée. Il convient en effet de relever que la demande de mise sous scellés est irrecevable. Elle aurait en effet dû être formulée directement auprès de l'autorité d'exécution et non pour la première fois devant l'autorité de recours (art. 248 CPP par renvoi de l'art. 9 EIMP). Partant, et au vu des considérants ci-dessus (cf. supra 2.4), la recourante ne peut pas se prévaloir du fait qu’elle n’eût pas été avertie de la procédure en cours pour justifier une requête tardive de mise sous scellés. Le grief de la violation du droit d’être entendu et, partant, du droit à un procès équitable doit dès lors, sous cet angle, être</w:t>
      </w:r>
    </w:p>
    <w:p>
      <w:r>
        <w:t>- 9 -</w:t>
      </w:r>
    </w:p>
    <w:p>
      <w:r>
        <w:t>également rejeté.</w:t>
      </w:r>
    </w:p>
    <w:p>
      <w:r>
        <w:rPr>
          <w:b/>
        </w:rPr>
        <w:t>E. 2.6.1</w:t>
      </w:r>
    </w:p>
    <w:p>
      <w:r>
        <w:t>La recourante soutient ensuite que l’accès au dossier aurait été insuffisant, l’Office USA ne lui aurait pas transmis toutes les pièces (act. 1, p. 11; 12). L’Office USA a reconnu avoir, par erreur, omis d’adresser une copie du courrier de levée de la confidentialité qui avait été adressée à la banque le</w:t>
      </w:r>
    </w:p>
    <w:p>
      <w:r>
        <w:rPr>
          <w:b/>
        </w:rPr>
        <w:t>E. 2.6.2</w:t>
      </w:r>
    </w:p>
    <w:p>
      <w:r>
        <w:t>En sus des considérants ci-dessus, il convient de rappeler que le droit de consulter le dossier s'étend à toutes les pièces décisives pour l'issue de la cause; a contrario, la consultation des pièces non pertinentes peut être refusée (cf. ATF 132 II 485 consid. 3.2; 121 I 225 consid. 2a p. 227). En matière d'entraide judiciaire, le droit d'être entendu est mis en œuvre par l’art. 9 LTEJUS. Cette disposition permet à l'ayant droit, à moins que certains intérêts ne s'y opposent (art. 9 al. 2 LTEJUS), de consulter le dossier de la procédure, la demande d'entraide et les pièces annexées. La consultation ne s'étend en tout cas qu'aux pièces pertinentes (ATF 119 Ia 139 consid. 2d; 118 Ib 438 consid. 3) et, selon l'art. 9 al. 1 LTEJUS a contrario, qu'aux pièces fournies par l'autorité requérante.</w:t>
      </w:r>
    </w:p>
    <w:p>
      <w:r>
        <w:rPr>
          <w:b/>
        </w:rPr>
        <w:t>E. 2.6.3</w:t>
      </w:r>
    </w:p>
    <w:p>
      <w:r>
        <w:t>En l’espèce, la recourante, par courrier du 15 janvier 2019, a requis que lui soit transmise la copie de l’ensemble des pièces du dossier (act. 7.8). Par missive du 16 janvier 2019, l’Office USA a envoyé à la recourante les pièces pertinentes (sur une clef USB), dont la documentation bancaire requise par les autorités américaines (act. 7.9). Il a cependant omis de transmettre la copie du courrier du 12 octobre 2018 précité. Celle-ci contenait l’information faite à la banque que la confidentialité était levée et que celle-ci pouvait informer son client de la procédure dont il faisait l’objet en Suisse. Force est de constater que cette omission ne saurait être qualifiée de grave. En effet, la pièce en question, qui ne contenait pas d’autres informations, n’était pas indispensable pour permettre à la recourante de prendre connaissance des aspects essentiels de la procédure et, le cas échéant, de faire valoir des motifs qui s’opposeraient à la demande d’entraide. Elle a d’ailleurs déposé un recours motivé et a détaillé les raisons pour lesquelles, selon elle, la transmission devrait être refusée. Elle n’indique en tout état de cause pas en quoi cette omission l’aurait empêchée de faire valoir tous ses moyens.</w:t>
      </w:r>
    </w:p>
    <w:p>
      <w:r>
        <w:rPr>
          <w:b/>
        </w:rPr>
        <w:t>E. 2.7</w:t>
      </w:r>
    </w:p>
    <w:p>
      <w:r>
        <w:t>Compte tenu de ce qui précède, le grief relatif à la violation du droit d’être entendu doit être rejeté.</w:t>
      </w:r>
    </w:p>
    <w:p>
      <w:r>
        <w:t>- 10 -</w:t>
      </w:r>
    </w:p>
    <w:p>
      <w:r>
        <w:t>3.</w:t>
      </w:r>
    </w:p>
    <w:p>
      <w:r>
        <w:t>3.1 La recourante invoque également une violation de l’art. 28 TEJUS. L’autorité américaine qui a fait la demande d’entraide ne serait pas compétente (act. 1, p. 14; 15). Aucune procuration expresse ne figurerait dans la demande, de sorte que F., signataire de la demande d’entraide, ne serait pas compétant à ce propos.</w:t>
      </w:r>
    </w:p>
    <w:p>
      <w:r>
        <w:t>3.2 Conformément à l’art. 28 al. 1 TEJUS, le traitement des demandes d’entraide judiciaire incombe à un office central. Aux Etats-Unis, celui-ci est le DOJ ou un mandataire désigné à cet effet. En l’espèce, la demande a été effectuée par F., directeur adjoint de l’Office of International Affairs, qui fait partie de la Criminal Division, qui fait, lui, partie du DOJ, soit l’autorité compétente pour adresser une demande d’entraide (act. 7.1, p. 1). En vertu du principe de la bonne foi entre les Etats, il n’y a pas de raison de douter que celui-ci ne soit pas compétent pour requérir, au nom du DOJ, l’entraide judiciaire à la Suisse. Partant, il n’y a pas non plus de motif de mettre en doute la valeur des informations fournies par le DOJ dans sa demande d'entraide. L’analyse de la recourante ne saurait dès lors être suivie (v. également arrêt du Tribunal pénal fédéral RR.2013.199-201 du 14 janvier 2014 consid. 3.1), de sorte que ce grief, mal fondé, doit également être rejeté.</w:t>
      </w:r>
    </w:p>
    <w:p>
      <w:r>
        <w:t>4.</w:t>
      </w:r>
    </w:p>
    <w:p>
      <w:r>
        <w:t>4.1 La recourante se plaint également d’une violation du principe de la proportionnalité (act. 1, p. 12 ss). Selon elle, il n’existerait aucun lien entre la recourante et l’enquête menée aux Etats-Unis, hormis le seul virement de USD 1'000'000.-- du 25 mai 2012 (cf. supra let. A). Le montant serait d’ailleurs bien inférieur au montant total du produit estimé des infractions en question et ne saurait dès lors constituer un lien suffisant. En outre, il ne serait pas proportionnel de transmettre les documents bancaires sur une période de sept ans (de 2012 à 2018), alors que les faits se sont déroulés entre 2012 et 2014. Elle soutient également que la transmission de la documentation bancaire entraînerait un danger pour les ayants-droit économiques du compte, de nationalité vénézuélienne, et leur famille, au vu de la situation politique actuelle au Venezuela.</w:t>
      </w:r>
    </w:p>
    <w:p>
      <w:r>
        <w:t>4.2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w:t>
      </w:r>
    </w:p>
    <w:p>
      <w:r>
        <w:t>- 11 -</w:t>
      </w:r>
    </w:p>
    <w:p>
      <w:r>
        <w:t>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w:t>
      </w:r>
    </w:p>
    <w:p>
      <w:r>
        <w:rPr>
          <w:b/>
        </w:rPr>
        <w:t>E. 7</w:t>
      </w:r>
    </w:p>
    <w:p>
      <w:r>
        <w:t>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 Il sied finalement de relever qu’une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Une violation du droit d'être</w:t>
      </w:r>
    </w:p>
    <w:p>
      <w:r>
        <w:t>- 6 -</w:t>
      </w:r>
    </w:p>
    <w:p>
      <w:r>
        <w:t>entendu commise par l'autorité d'exécution est en principe guérissable dans le cadre de la procédure de recours auprès de la Cour de céans (arrêt du Tribunal fédéral 1C_168/2016 du 22 avril 2016 consid. 1.3.2). En matière 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Ainsi, lorsque l'autorité méconnaît systématiquement la portée du droit d'être entendu, se défaussant par la même occasion sur l'autorité de recours (arrêt du Tribunal pénal fédéral RR.2015.278 du 16 décembre 2015 consid. 2.1.3; ZIMMERMANN, La coopération judiciaire internationale en matière pénale, 5e éd. 2019, n° 472, p. 509-510).</w:t>
      </w:r>
    </w:p>
    <w:p>
      <w:r>
        <w:rPr>
          <w:b/>
        </w:rPr>
        <w:t>E. 12</w:t>
      </w:r>
    </w:p>
    <w:p>
      <w:r>
        <w:t>octobre 2018 (act. 7.13). Dans sa réponse au recours, il a toutefois indiqué que celui-ci ne serait pas essentiel pour permettre à la recourante de se déterminer sur la demande d’entraide et faire valoir les motifs qui s’opposeraient à la transmission de la documentation bancaire (act. 7, p. 3).</w:t>
      </w:r>
    </w:p>
    <w:p>
      <w:r>
        <w:rPr>
          <w:b/>
        </w:rPr>
        <w:t>E. 13</w:t>
      </w:r>
    </w:p>
    <w:p>
      <w:r>
        <w:t>octobre 2010 consid. 4.2.4/a et RR.2009.320 du 2 février 2010 consid. 4.1; ZIMMERMANN, La coopération judiciaire internationale en matière pénale,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w:t>
      </w:r>
    </w:p>
    <w:p>
      <w:r>
        <w:t>- 12 -</w:t>
      </w:r>
    </w:p>
    <w:p>
      <w:r>
        <w:t>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t>4.3 En l’espèce, l’on rappelle que l’autorité requérante enquête sur les agissements de B., soupçonné de plusieurs infractions pénales. Selon le dossier de l’Office USA, il a été démontré qu’il existe au moins un mouvement de fonds entre A. S.A. et D. SA, société qui aurait également été impliquée dans les agissements de B. C’est cette société même qui aurait par la suite effectué le virement de USD 1'000'000.-- le 25 mai 2012. Partant, bien que le montant puisse être inférieur au montant total du produit estimé des infractions, il n’apparaît pas disproportionné, mais au contraire conforme au principe de l’utilité potentielle, que l’autorité requérante veuille vérifier qu’il n’existe pas d’autres mouvements de fonds sur le compte de la recourante. De plus, même si les faits semblent se limiter aux années 2012 à 2014 selon la commission rogatoire, il n’en demeure pas moins que l’autorité requérante dispose d’un intérêt à vérifier elle-même que la recourante n’ait pas été impliquée dans des transactions ultérieures, dès lors que l’enquête est encore en cours. Partant, et contrairement aux affirmations de la recourante, la documentation bancaire à partir de l’année 2012 présente une utilité potentielle pour l’enquête étrangère, et elle a expressément été sollicitée par les autorités américaines. Il existe ainsi un lien de connexité suffisant qui justifie la transmission de ces données, dès lors que l’entraide vise non seulement à recueillir des preuves à charge, mais également à décharge.</w:t>
      </w:r>
    </w:p>
    <w:p>
      <w:r>
        <w:t>- 13 -</w:t>
      </w:r>
    </w:p>
    <w:p>
      <w:r>
        <w:t>4.4 Enfin, l’argument selon lequel les ayants-droit économiques et leur famille seraient en danger dans le cas où la documentation serait lue par des tiers et que les informations finiraient dans les mains de criminels ne saurait en l’espèce être suivi. La recourante ne démontre pas concrètement être exposée à un danger, mais se contente d’exposer la situation générale, certes compliquée, du Venezuela. De plus, les arguments avancés concernant des tiers n’ont pas à être examinés par l’autorité de céans. Dans tous les cas, en vertu du principe de la bonne foi (art. 5 al. 3 Cst) et du principe de la spécialité (art. 67 EIMP) entre les Etats, il n’y a pas de raison de douter que l’Etat traitera de manière confidentielle toute la documentation transmise dans le cadre de l’entraide demandée.</w:t>
      </w:r>
    </w:p>
    <w:p>
      <w:r>
        <w:t>4.5 Le grief de violation du principe de la proportionnalité est donc mal fondé.</w:t>
      </w:r>
    </w:p>
    <w:p>
      <w:r>
        <w:t>5. Il s’ensuit que le recours est mal fondé et doit, partant, être rejeté.</w:t>
      </w:r>
    </w:p>
    <w:p>
      <w:r>
        <w:t>6.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couverts par l’avance de frais effectuée.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