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RR.2018.95 vom 29. März 2018</w:t>
      </w:r>
    </w:p>
    <w:p>
      <w:r>
        <w:t>Bundesstrafgericht, 2018-03-29, DE</w:t>
      </w:r>
    </w:p>
    <w:p>
      <w:r>
        <w:rPr>
          <w:b/>
        </w:rPr>
        <w:t xml:space="preserve">Quelle: </w:t>
      </w:r>
      <w:r>
        <w:t>https://mcp.opencaselaw.ch/entscheid/bstger_RR.2018.95</w:t>
      </w:r>
    </w:p>
    <w:p>
      <w:r>
        <w:t>FR: TPF RR.2018.95 du 29 mars 2018</w:t>
      </w:r>
    </w:p>
    <w:p>
      <w:r>
        <w:t>IT: TPF RR.2018.95 del 29 marzo 2018</w:t>
      </w:r>
    </w:p>
    <w:p>
      <w:pPr>
        <w:pStyle w:val="Heading2"/>
      </w:pPr>
      <w:r>
        <w:t>Regeste</w:t>
      </w:r>
    </w:p>
    <w:p>
      <w:r>
        <w:t>Internationale Rechtshilfe in Strafsachen an Deutschland. Hausdurchsuchung und Beweismittelbeschlagnahme (Art. 63 Abs. 2 lit. b IRSG).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April 1959 (EUeR; SR 0.351.1), dem beide Staaten beigetreten sind, so- wie der zwischen ihnen abgeschlossene Zusatzvertrag vom 13. November 1969 (ZV-D/EUeR; SR 0.351.913.1) massgebend sind; überdies die Bestim- mungen der Art. 48 ff. des Übereinkommens vom 19. Juni 1990 zur Durch- führung des Übereinkommens von Schengen vom 14. Juni 1985 (Schenge- ner Durchführungsübereinkommen, SDÜ; ABl. L 239 vom 22. September 2000, S. 19-62) zur Anwendung gelangen, wobei die zwischen den Vertrags- parteien geltenden weitergehenden Bestimmungen aufgrund bilateraler Ab- kommen unberührt bleiben (Art. 48 Abs. 2 SDÜ); das Betrugsbekämpfungs- abkommen (BBA; SR 0.351.926.81) und weitere Staatsverträge zur Anwen- dung gelangen, soweit das betreffende Rechtshilfeersuchen im Geltungsbe- reich dieser Abkommen fällt;</w:t>
      </w:r>
    </w:p>
    <w:p>
      <w:r>
        <w:t>- das Rechtshilfegesetz (IRSG; SR 351.1) und die Verordnung über internati- onale Rechtshilfe in Strafsachen vom 24. Februar 1982 (IRSV; SR 351.11) zur Anwendung gelangen, soweit das Staatsvertragsrecht bestimmte Fragen nicht abschliessend regelt (Art. 1 Abs. 1 IRSG; BGE 130 II 337 E. 1 S. 339; 128 II 355 E. 1 S. 357; 124 II 180 E. 1a S. 181); das innerstaatliche Recht nach dem Günstigkeitsprinzip auch dann gilt, wenn dieses geringere Anfor- derungen an die Rechtshilfe stellt (BGE 142 IV 250 E. 3; 140 IV 123 E. 2; 137 IV 33 E. 2.2.2, jeweils mit weiteren Hinweisen); die Wahrung der Men- schenrechte vorbehalten bleibt (BGE 135 IV 212 E. 2.3; 123 II 595 E. 7c);</w:t>
      </w:r>
    </w:p>
    <w:p>
      <w:r>
        <w:t>- für Prozesshandlungen der kantonalen Behörden grundsätzlich die StPO als das in Strafsachen massgebende Verfahrensrecht gilt, wenn die einschlägi- gen Rechtshilfeerlasse und Staatsverträge nichts anderes bestimmen (Art. 12 Abs. 1 IRSG i.V.m. Art. 54 StPO); das IRSG das Rechtsmittelverfah-</w:t>
      </w:r>
    </w:p>
    <w:p>
      <w:r>
        <w:t>- 4 -</w:t>
      </w:r>
    </w:p>
    <w:p>
      <w:r>
        <w:t>ren im Bereich der internationalen Rechtshilfe in Strafsachen regelt (s. nach- folgende Erwägungen), weshalb die betreffenden Bestimmungen der StPO keine Anwendung finden (s. auch HEIMGARTNER, in: Donatsch/Hansja- kob/Lieber, Kommentar zur Schweizerischen Strafprozessordnung [StPO], 2. Aufl. 2014, Art. 54 N. 6); die Rechtsmittelbelehrung im Durchsuchungs- und Beschlagnahmebefehl vom 1. März 2018 daher unrichtig ist;</w:t>
      </w:r>
    </w:p>
    <w:p>
      <w:r>
        <w:t>- die Verfügung der ausführenden kantonalen Behörde oder der ausführenden Bundesbehörde, mit der das Rechtshilfeverfahren abgeschlossen wird, zu- sammen mit den vorangehenden Zwischenverfügungen der Beschwerde an die Beschwerdekammer des Bundesstrafgerichts unterliegt (Art. 80e Abs. 1 IRSG);</w:t>
      </w:r>
    </w:p>
    <w:p>
      <w:r>
        <w:t>- der Schlussverfügung vorangehende Zwischenverfügungen nur ausnahms- weise selbständig angefochten werden können, wenn sie durch die Be- schlagnahme von Vermögenswerten und Wertgegenständen oder durch die Anwesenheit von Personen, die am ausländischen Prozess beteiligt sind, einen unmittelbaren und nicht wieder gutzumachenden Nachteil bewirken (Art. 80e Abs. 2 lit. a und b IRSG);</w:t>
      </w:r>
    </w:p>
    <w:p>
      <w:r>
        <w:t>- das Gesetz im Bereich der Rechtshilfe in Strafsachen demnach keine unmit- telbare Beschwerdemöglichkeit gegen den hier mitangefochtenen Haus- durchsuchungsbefehl vorsieht (Art. 80e Abs. 2 IRSG e contrario; Entscheide des Bundesstrafgerichts RR.2015.57 vom 19. Februar 2015; RR.2014.112 vom 29. April 2014; RR.2012.12 vom 19. April 2012);</w:t>
      </w:r>
    </w:p>
    <w:p>
      <w:r>
        <w:t>- es sich bei den vorliegend sichergestellten und allenfalls zu beschlagnah- menden Dokumenten und Daten sodann nicht um Vermögenswerte und Wertgegenstände im Sinne von Art. 80e Abs. 2 lit. a IRSG handelt (TPF 2010 133; siehe u. a. auch die Entscheide des Bundesstrafgerichts RR.2014.112 vom 29. April 2014; RR.2013.210 vom 31. Juli 2013; RR.2012.12 vom 19. April 2012);</w:t>
      </w:r>
    </w:p>
    <w:p>
      <w:r>
        <w:t>- demnach bereits aus den vorstehenden Gründen kein taugliches Anfech- tungsobjekt im Sinne von Art. 80e Abs. 2 IRSG vorliegt, weshalb der ange- fochtene Hausdurchsuchungs- und Beschlagnahmebefehl nicht selbständig anfechtbar und auf die Beschwerde folglich nicht einzutreten ist; mit Bezug auf die Rüge der Anwesenheit der deutschen Beamten auf die von den Be- schwerdeführern separat erhobene Beschwerde gegen die Eintretens- und Zwischenverfügung vom 21. Februar 2018 (RR.2018.90-92) zu verweisen ist;</w:t>
      </w:r>
    </w:p>
    <w:p>
      <w:r>
        <w:t>- 5 -</w:t>
      </w:r>
    </w:p>
    <w:p>
      <w:r>
        <w:t>- es die Beschwerdeführer unabhängig davon auch unterlassen haben, in ihrer Beschwerdeschrift hinreichend konkret geltend zu machen, weshalb ihnen aus der angefochtenen Sicherstellung ein unmittelbarer und nicht wie- der gutzumachender Nachteil erwachse (siehe zur diesbezüglichen Begrün- dungspflicht des Beschwerdeführers den Entscheid des Bundestrafgerichts RR.2010.50 vom 18. Mai 2010 E. 3.1); der Beschwerdeführer 1 und die für die Beschwerdeführerin 3 berechtigte Person im Übrigen die Siegelung eines Teils der sichergestellten Daten verlangt haben (act. 1.6);</w:t>
      </w:r>
    </w:p>
    <w:p>
      <w:r>
        <w:t>- ausserdem die Beschwerdeführer 1 und 2 nicht geltend machen, sie seien Mieter oder Eigentümer der durchsuchten Räumlichkeiten, weshalb sie von dieser Massnahme gemäss Art. 9a lit. b IRSV i.V.m. Art. 80h lit. b IRSG per- sönlich und direkt betroffen und somit zur vorliegenden Beschwerde legiti- miert seien; ihnen allein aufgrund der geltend gemachten Eigentümerstel- lung bezüglich der sichergestellten Unterlagen und Daten (act. 1 S. 2) keine Beschwerdelegitimation zukommt;</w:t>
      </w:r>
    </w:p>
    <w:p>
      <w:r>
        <w:t>- sich die Beschwerde nach dem Gesagten als offensichtlich unzulässig er- weist, weshalb auf sie ohne Durchführung eines Schriftenwechsels (Art. 57 Abs. 1 VwVG e contrario) nicht einzutreten ist;</w:t>
      </w:r>
    </w:p>
    <w:p>
      <w:r>
        <w:t>- mit Blick auf die unzutreffende Rechtsmittelbelehrung in der angefochtenen Verfügung (s.o.) es sich vorliegend rechtfertigt, auf eine Kostenerhebung zu verzichten; die Bundesstrafgerichtskasse anzuweisen ist, den Beschwerde- führern den geleisteten Kostenvorschuss zurückzuerstatten.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