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RR.2018.76 vom 19. Juni 2018</w:t>
      </w:r>
    </w:p>
    <w:p>
      <w:r>
        <w:t>Bundesstrafgericht, 2018-06-19, FR</w:t>
      </w:r>
    </w:p>
    <w:p>
      <w:r>
        <w:rPr>
          <w:b/>
        </w:rPr>
        <w:t xml:space="preserve">Quelle: </w:t>
      </w:r>
      <w:r>
        <w:t>https://mcp.opencaselaw.ch/entscheid/bstger_RR.2018.76</w:t>
      </w:r>
    </w:p>
    <w:p>
      <w:r>
        <w:t>FR: TPF RR.2018.76 du 19 juin 2018</w:t>
      </w:r>
    </w:p>
    <w:p>
      <w:r>
        <w:t>IT: TPF RR.2018.76 del 19 giugno 2018</w:t>
      </w:r>
    </w:p>
    <w:p>
      <w:pPr>
        <w:pStyle w:val="Heading2"/>
      </w:pPr>
      <w:r>
        <w:t>Regeste</w:t>
      </w:r>
    </w:p>
    <w:p>
      <w:r>
        <w:t>Entraide judiciaire internationale en matière pénale à la République fédérative du Brésil. Remise de moyens de preuve (art. 74 EIMP).</w:t>
      </w:r>
    </w:p>
    <w:p>
      <w:pPr>
        <w:pStyle w:val="Heading2"/>
      </w:pPr>
      <w:r>
        <w:t>Erwägungen</w:t>
      </w:r>
    </w:p>
    <w:p>
      <w:r>
        <w:rPr>
          <w:b/>
        </w:rPr>
        <w:t>E. 1.1</w:t>
      </w:r>
    </w:p>
    <w:p>
      <w:r>
        <w:t>En vertu de l’art. 37 al. 2 let. a de la loi fédérale sur l’organisation des autorités pénales de la Confédération (LOAP; RS 173.71) mis en relation avec les art. 25 al. 1 et 80e al. 1 de la loi fédérale sur l’entraide internationale en matière pénale (EIMP; RS 351.1), la Cour des plaintes du Tribunal pénal fédéral est compétente pour connaître des recours dirigés contre les ordonnances de clôture de la procédure d’entraide rendues par l’autorité fédérale ou cantonale d’exécution.</w:t>
      </w:r>
    </w:p>
    <w:p>
      <w:r>
        <w:rPr>
          <w:b/>
        </w:rPr>
        <w:t>E. 1.2</w:t>
      </w:r>
    </w:p>
    <w:p>
      <w:r>
        <w:t>Le 12 mai 2004, la République fédérative du Brésil et la Confédération suisse ont conclu un traité d’entraide judiciaire en matière pénale (RS 0.351.919.81, ci-après: le traité), entré en vigueur le 27 juillet 2009. Les dispositions de ce traité l’emportent sur le droit autonome qui régit la matière, soit l’EIMP et son ordonnance d’exécution (OEIMP; RS 351.11). Le droit interne reste toutefois applicable aux questions non réglées, explicitement ou implicitement, par le traité et lorsqu’il est plus favorable à l’entraide (ATF 142 IV 250 consid. 3; 140 IV 123 consid. 2; 137 IV 33 consid. 2.2.2). L’application de la norme la plus favorable doit avoir lieu dans le respect des droits fondamentaux (ATF 135 IV 212 consid. 2.3; 123 II 595 consid. 7c).</w:t>
      </w:r>
    </w:p>
    <w:p>
      <w:r>
        <w:rPr>
          <w:b/>
        </w:rPr>
        <w:t>E. 1.3</w:t>
      </w:r>
    </w:p>
    <w:p>
      <w:r>
        <w:t>Le délai de recours contre la décision de clôture est de 30 jours dès la communication écrite de celle-ci (art. 80k EIMP). Ledit délai a en l’espèce</w:t>
      </w:r>
    </w:p>
    <w:p>
      <w:r>
        <w:t>- 4 -</w:t>
      </w:r>
    </w:p>
    <w:p>
      <w:r>
        <w:t>été respecté.</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w:t>
      </w:r>
    </w:p>
    <w:p>
      <w:r>
        <w:rPr>
          <w:b/>
        </w:rPr>
        <w:t>E. 1.5</w:t>
      </w:r>
    </w:p>
    <w:p>
      <w:r>
        <w:t>En tant que titulaire des relations bancaires visées par la décision querellée, la recourante a qualité pour attaquer celle-ci.</w:t>
      </w:r>
    </w:p>
    <w:p>
      <w:r>
        <w:rPr>
          <w:b/>
        </w:rPr>
        <w:t>E. 1.6</w:t>
      </w:r>
    </w:p>
    <w:p>
      <w:r>
        <w:t>Compte tenu de ce qui précède, il convient d’entrer en matière sur le fond.</w:t>
      </w:r>
    </w:p>
    <w:p>
      <w:r>
        <w:rPr>
          <w:b/>
        </w:rPr>
        <w:t>E. 2.1</w:t>
      </w:r>
    </w:p>
    <w:p>
      <w:r>
        <w:t>Dans un grief qu’il convient de traiter en premier lieu compte tenu de sa nature formelle, la recourante dénonce une violation de son droit d’être entendue, particulièrement sous l’angle du droit à une décision motivée. D’une part la décision attaquée ne contiendrait pas les bases légales examinées par le MPC, lesquelles fonderaient l’octroi de l’entraide (act. 1, p. 7-8), et d’autre part elle ne serait pas motivée en ce qui concerne la condition de la double incrimination (act. 1, p. 8-9).</w:t>
      </w:r>
    </w:p>
    <w:p>
      <w:r>
        <w:rPr>
          <w:b/>
        </w:rPr>
        <w:t>E. 2.2</w:t>
      </w:r>
    </w:p>
    <w:p>
      <w:r>
        <w:t>L’art. 29 al. 2 Cst. consacre le droit d’être entendu, lequel découle également du droit à un procès équitable (art. 6 par. 1 de la Convention de sauvegarde des droits de l’homme et des libertés fondamentales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497 consid. 2.2 p. 505 et les références citées). Par ailleurs, une autorité se rend coupable d’une violation du droit d’être entendu si elle omet de se prononcer sur des griefs qui présentent une certaine pertinence ou de prendre en considération des allégués et arguments importants pour la décision à rendre (ATF 133 III 235 consid. 5.2 p. 248).</w:t>
      </w:r>
    </w:p>
    <w:p>
      <w:r>
        <w:rPr>
          <w:b/>
        </w:rPr>
        <w:t>E. 2.3</w:t>
      </w:r>
    </w:p>
    <w:p>
      <w:r>
        <w:t>La jurisprudence a tiré du droit d’être entendu l’obligation pour l’autorité de motiver ses décisions. La motivation a pour but de permettre au justiciable</w:t>
      </w:r>
    </w:p>
    <w:p>
      <w:r>
        <w:t>- 5 -</w:t>
      </w:r>
    </w:p>
    <w:p>
      <w:r>
        <w:t>de comprendre la décision suffisamment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L’objet et la précision des indications à fournir dépendent de la nature de l’affaire et des circonstances particulières du cas. Elle n’est pas tenue de discuter de manière détaillée tous les arguments soulevés par les parties (ATF 112 Ia 107 consid. 2b; v. aussi ATF 126 I 97 consid. 2b; 125 II 369 consid. 2c; 124 II 146 consid. 2a), mais peut se limiter à l’examen des questions décisives pour l’issue du litige (ATF 126 I 15 consid. 2a/aa; 125 II 369 consid. 2c; 124 II 146 consid. 2a; 124 V 180 consid. 1a et les arrêts cités). La motivation peut être implicite et résulter des différents considérants de la décision (arrêts du Tribunal fédéral 5A_878/2012 du 26 août 2013 consid. 3.1; 1C_246/2013 du 4 juin 2013 consid. 2.1; 2C_23/2009 du 25 mai 2009 consid. 3.1, publié in: RDAF 2009 II p. 434).</w:t>
      </w:r>
    </w:p>
    <w:p>
      <w:r>
        <w:rPr>
          <w:b/>
        </w:rPr>
        <w:t>E. 2.4.1</w:t>
      </w:r>
    </w:p>
    <w:p>
      <w:r>
        <w:t>Concernant le premier volet du grief relatif à la violation du droit d’être entendu, la recourante soutient que le MPC n’a pas indiqué dans sa décision de clôture – même sommairement – les bases légales pertinentes concernant le principe de l’octroi de l’entraide, ni expliqué en quoi la demande de l’autorité requérante satisfaisait aux exigences légales (act. 1, p. 8). Contrairement aux affirmations de la recourante, la décision de clôture du 6 février 2018 mentionne l’art. 80d EIMP s’agissant du principe de l’octroi de l’entraide, de sorte que cet aspect du grief se révèle déjà infondé. Le MPC indique par ailleurs que, aucun élément nouveau n’étant intervenu depuis le prononcé de la décision d’entrée en matière qui justifierait de s’écarter de la motivation de celle-ci, il peut être intégralement renvoyé aux considérants de cette décision (act. 1.1, p. 3). Dans son ordonnance d’entrée en matière du 8 juillet 2016, le MPC résume l’état de fait et conclut que celui-ci correspond prima facie aux éléments constitutifs notamment des infractions de corruption passive (art. 322quater CP) et blanchiment d’argent (art. 305bis CP). Il relève ensuite que la demande satisfait aux exigences formelles et matérielles du traité, de l’EIMP et de l’OEIMP, qu’aucun motif d’irrecevabilité ne parait réalisé en l’espèce (art. 2 à 6 EIMP), et qu’eu égard aux dispositions idoines des accords, lois et ordonnances susmentionnés, il ressort de l’examen préliminaire, conformément à l’art. 80 EIMP, que la demande d’entraide est recevable (act. 1.7, p. 2).</w:t>
      </w:r>
    </w:p>
    <w:p>
      <w:r>
        <w:rPr>
          <w:b/>
        </w:rPr>
        <w:t>E. 2.4.2</w:t>
      </w:r>
    </w:p>
    <w:p>
      <w:r>
        <w:t>La jurisprudence admet que la garantie du droit d’être entendu est préservée si le justiciable touché par une décision défavorable est en mesure d’apprécier la portée du prononcé et de le contester à bon escient (v. supra</w:t>
      </w:r>
    </w:p>
    <w:p>
      <w:r>
        <w:t>- 6 -</w:t>
      </w:r>
    </w:p>
    <w:p>
      <w:r>
        <w:t>consid. 2.3). En particulier, le renvoi à une décision antérieure de la même autorité n’est en principe pas contraire à l’obligation de motivation (v. arrêt du Tribunal fédéral 1P.465/2005 du 30 août 2005 consid. 5). En l’espèce, la décision d’entrée en matière à laquelle renvoie la décision entreprise est connue de la recourante et aucun élément nouveau n’est intervenu depuis qui justifierait de s’en écarter. La recourante a ainsi parfaitement pu mesurer la portée de cette décision de justice. Invoquer comme elle le fait une violation du droit d’être entendu sur ce point est dès lors sans fondement.</w:t>
      </w:r>
    </w:p>
    <w:p>
      <w:r>
        <w:rPr>
          <w:b/>
        </w:rPr>
        <w:t>E. 2.4.3</w:t>
      </w:r>
    </w:p>
    <w:p>
      <w:r>
        <w:t>Concernant le deuxième volet du grief, la recourante invoque le défaut de motivation de la condition de la double incrimination contenue dans la décision d’entrée en matière, à laquelle renvoie la décision de clôture (act. 1, p. 8). Comme l’a déjà relevé l’autorité de céans dans l’arrêt RR.2017.334 du 9 mars 2018, la Cour considère qu’une telle critique n’est pas recevable dès lors qu’elle aurait dû intervenir dans le cadre de la précédente procédure (RR.2016.209+201+217), laquelle était dirigée contre la même ordonnance d’entrée en matière. A cette occasion, la recourante avait invoqué une violation de son droit d’être entendue s’agissant de la participation au tri des pièces et d’une transmission tardive de la documentation bancaire. Faute d’avoir allégué un défaut de motivation concernant la condition de la double incrimination, il y a lieu de considérer qu’elle l’avait tenue pour suffisante. La recourante conteste cette opinion dans sa réplique (act. 11, p. 2). Elle soutient qu’il ne faut pas voir en l’absence de ces griefs dans la procédure précédente une renonciation de la recourante à l’exercice de son droit d’être entendue, mais plutôt y voir l’amélioration de son argumentaire. La présente procédure permettrait ainsi à la recourante de parfaire son argumentation. La recourante soutient par ailleurs que ses critiques ne visent pas directement la décision d’entrée en matière dont le degré de motivation serait conforme aux exigences légales, mais la décision de clôture, laquelle ne serait pas suffisamment motivée et renverrait à la décision d’entrée en matière.</w:t>
      </w:r>
    </w:p>
    <w:p>
      <w:r>
        <w:rPr>
          <w:b/>
        </w:rPr>
        <w:t>E. 2.4.4</w:t>
      </w:r>
    </w:p>
    <w:p>
      <w:r>
        <w:t>Le Tribunal fédéral a relevé que les griefs qui auraient pu être soulevés contre des décisions relatives à l’admissibilité et à l’exécution de la demande principale ne peuvent plus être invoquées dans le cadre de la procédure d’entraide découlant d’une nouvelle demande de complément (ATF 117 Ib 330 consid. 4). En l’espèce, même s’il ne s’agit pas d’une demande de complément de la part de l’autorité requérante, il s’agit d’un complément à la première décision de clôture, qui s’inscrit dans le cadre de la même demande d’entraide, relative au même complexe de fait. L’argument relatif à la violation du droit d’être entendu, concernant le défaut de motivation de la condition de la double incrimination, aurait dès lors dû être présenté lors du premier recours de la recourante, en même temps que les autres griefs</w:t>
      </w:r>
    </w:p>
    <w:p>
      <w:r>
        <w:t>- 7 -</w:t>
      </w:r>
    </w:p>
    <w:p>
      <w:r>
        <w:t>relatifs à la décision d’entrée en matière du 8 juillet 2016. Le grief doit dans tous les cas être rejeté dès lors que ni la loi ni la jurisprudence n’exigent que la décision de clôture soit davantage motivée que la décision d’entrée en matière concernant la condition de la double incrimination, et que la recourante retient elle-même que la motivation de la seconde était conforme aux exigences légales (act. 11, p. 2).</w:t>
      </w:r>
    </w:p>
    <w:p>
      <w:r>
        <w:rPr>
          <w:b/>
        </w:rPr>
        <w:t>E. 2.4.5</w:t>
      </w:r>
    </w:p>
    <w:p>
      <w:r>
        <w:t>Le grief tiré de la violation du droit d’être entendue de la recourante doit dès lors être rejeté.</w:t>
      </w:r>
    </w:p>
    <w:p>
      <w:r>
        <w:rPr>
          <w:b/>
        </w:rPr>
        <w:t>E. 3</w:t>
      </w:r>
    </w:p>
    <w:p>
      <w:r>
        <w:t>Dans un deuxième grief, la recourante invoque une violation du principe de la proportionnalité. Le lien de connexité entre le compte bancaire de la recourante et l’activité alléguée comme criminelle ne serait pas démontré, de sorte que la demande d’entraide constituerait un prétexte à la recherche indéterminée de preuves (act. 1, p. 10-11).</w:t>
      </w:r>
    </w:p>
    <w:p>
      <w:r>
        <w:rPr>
          <w:b/>
        </w:rPr>
        <w:t>E. 3.1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w:t>
      </w:r>
    </w:p>
    <w:p>
      <w:r>
        <w:t>- 8 -</w:t>
      </w:r>
    </w:p>
    <w:p>
      <w:r>
        <w:t>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4e éd. 2014, n°723, p. 748 s.).</w:t>
      </w:r>
    </w:p>
    <w:p>
      <w:r>
        <w:rPr>
          <w:b/>
        </w:rPr>
        <w:t>E. 3.2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3.3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w:t>
      </w:r>
    </w:p>
    <w:p>
      <w:r>
        <w:t>- 9 -</w:t>
      </w:r>
    </w:p>
    <w:p>
      <w:r>
        <w:t>agissements qu’elle connaît déjà n’ont pas été précédés ou suivis d’autres actes du même genre (v. arrêts du Tribunal fédéral 1A.259/2006 du 26 janvier 2007 consid. 2.2; 1A.75/2006 du 20 juin 2006 consid. 3.2; 1A.79/2005 du 27 avril 2005 consid. 4.2; 1A.59/2005 du 26 avril 2005 consid. 6.3).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du 22 juin 2006 consid. 5.3; arrêt du Tribunal pénal fédéral RR.2008.287 du 9 avril 2009 consid. 2.2.4 et la jurisprudence citée).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renvois).</w:t>
      </w:r>
    </w:p>
    <w:p>
      <w:r>
        <w:rPr>
          <w:b/>
        </w:rPr>
        <w:t>E. 3.4</w:t>
      </w:r>
    </w:p>
    <w:p>
      <w:r>
        <w:t>La recourante s’est déjà prévalue du même argument dans son recours du 10 octobre 2016. Elle soutenait que la demande d’entraide brésilienne constituait une « recherche indéterminée » et partant, qu’il n’existerait pas de « lien de connexité entre les pièces saisies et les faits allégués ». Dans sa réplique du 23 avril 2018, la recourante maintient qu’à aucun moment l’autorité requérante ne fait état d’un lien quelconque entre l’activité prétendument délictueuse de B. et la relation bancaire ouverte au nom de la recourante. Les sociétés nommément désignées seraient par ailleurs à l’étranger. Comme rappelé plus haut, en vertu du principe de l’utilité potentielle (supra, consid. 3.1), il découle pour l’autorité d’exécution un devoir d’exhaustivité qui justifie de communiquer tous les éléments qu’elle a réunis propres à servir l’enquête étrangère.</w:t>
      </w:r>
    </w:p>
    <w:p>
      <w:r>
        <w:rPr>
          <w:b/>
        </w:rPr>
        <w:t>E. 3.5</w:t>
      </w:r>
    </w:p>
    <w:p>
      <w:r>
        <w:t>En l’espèce, l’on rappelle que l’autorité requérante enquête sur les agissements de B., soupçonné d’avoir participé à un vaste schéma de corruption d’employés de l’entreprise semi-étatique C. Son rôle présumé consistait à jouer l’intermédiaire lors du paiement de pots-de-vin, dont le montant est chiffré à plusieurs millions de dollars par l’autorité requérante, et ce notamment afin que soient favorisées certaines sociétés en lien avec l’adjudication d’importants marchés publics. Les autorités brésiliennes ont mis à jour le fait que B. utilisait un vaste réseau de sociétés offshore, dont la société recourante (dont B. a été l’administrateur unique), pour faire transiter ces fonds corruptifs. Il est dès lors possible que les relations bancaires objets de la décision querellée soient liées aux activités criminelles investiguées par les autorités étrangères. Au vu de ce qui précède, force est d’admettre qu’il existe un rapport objectif suffisant entre la recourante, respectivement</w:t>
      </w:r>
    </w:p>
    <w:p>
      <w:r>
        <w:t>- 10 -</w:t>
      </w:r>
    </w:p>
    <w:p>
      <w:r>
        <w:t>les comptes litigieux, et les infractions faisant l’objet de l’investigation brésilienne. L’appréciation de l’autorité précédente ne prête pas le flanc à la critique, de sorte que ce grief doit également être rejeté.</w:t>
      </w:r>
    </w:p>
    <w:p>
      <w:r>
        <w:rPr>
          <w:b/>
        </w:rPr>
        <w:t>E. 4</w:t>
      </w:r>
    </w:p>
    <w:p>
      <w:r>
        <w:t>Les considérants qui précèdent conduisent au rejet du recours.</w:t>
      </w:r>
    </w:p>
    <w:p>
      <w:r>
        <w:rPr>
          <w:b/>
        </w:rPr>
        <w:t>E. 5</w:t>
      </w:r>
    </w:p>
    <w:p>
      <w:r>
        <w:t>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lesquels sont fixés à CHF 5'000.-- (art. 73 al. 2 LOAP et art. 8 al. 3 du règlement du Tribunal pénal fédéral sur les frais, émoluments, dépens, et indemnités de la procédure pénale fédérale [RFPPF; RS 173.713.162] et art. 63 al. 5 PA), couverts par l’avance de frais déjà versée.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