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RR.2018.62 vom 13. März 2018</w:t>
      </w:r>
    </w:p>
    <w:p>
      <w:r>
        <w:t>Bundesstrafgericht, 2018-03-13, DE</w:t>
      </w:r>
    </w:p>
    <w:p>
      <w:r>
        <w:rPr>
          <w:b/>
        </w:rPr>
        <w:t xml:space="preserve">Quelle: </w:t>
      </w:r>
      <w:r>
        <w:t>https://mcp.opencaselaw.ch/entscheid/bstger_RR.2018.62</w:t>
      </w:r>
    </w:p>
    <w:p>
      <w:r>
        <w:t>FR: TPF RR.2018.62 du 13 mars 2018</w:t>
      </w:r>
    </w:p>
    <w:p>
      <w:r>
        <w:t>IT: TPF RR.2018.62 del 13 marzo 2018</w:t>
      </w:r>
    </w:p>
    <w:p>
      <w:pPr>
        <w:pStyle w:val="Heading2"/>
      </w:pPr>
      <w:r>
        <w:t>Regeste</w:t>
      </w:r>
    </w:p>
    <w:p>
      <w:r>
        <w:t>Auslieferung an die Republik Kosovo. Annahmebedürftige Auflagen (Art. 80p IRSG). Akzessorisches Haftentlassungsgesuch (Art. 50 Abs. 3 IRSG).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2018 auch bezüglich des Wortes "Gefängnis" dem Text des Schrei- bens des BJ vom 28. Dezember 2017 entsprechen soll; die vom BJ am 28. De- zember 2017 ersuchte Garantieerklärung damit auf Deutsch vorliegt;</w:t>
      </w:r>
    </w:p>
    <w:p>
      <w:r>
        <w:t>– zwar die Erklärung vom 7. Februar 2018 auf Englisch verfasst ist, obwohl nach Art. 28 Abs. 5 IRSG ausländische Ersuchen und ihre Unterlagen in deutscher, französischer oder italienischer Sprache oder mit Übersetzung in eine dieser Sprachen einzureichen wären;</w:t>
      </w:r>
    </w:p>
    <w:p>
      <w:r>
        <w:t>– gemäss den Akten allen Beteiligten vorliegend indes verständlich war, was die kosovarische Erklärung mit den Worten «the word "prison" shall be translated as "Gefängnis" instead of "Strafvollzugsanstalt"» meinte;</w:t>
      </w:r>
    </w:p>
    <w:p>
      <w:r>
        <w:t>– durch die fehlende Übersetzung folglich keine Rechte der auszuliefernden Per- son beeinträchtigt wurden noch ein missbräuchliches Verhalten des ersuchen- den Staates ersichtlich ist (vgl. zu diesem Massstab Urteile des Bundesgerichts 6B_300/2013 vom 3. Juni 2013 E. 2; 1A.248/2006 vom 1. Februar 2007 E. 2.2; 1A.76/2006 vom 15. Mai 2006 E. 2.5; 1A.56/2000 vom 17. April 2000 E. 2b; ZIMMERMANN, La coopération judiciaire internationale en matière pénale, 4. Aufl. 2014, N. 291 f.);</w:t>
      </w:r>
    </w:p>
    <w:p>
      <w:r>
        <w:t>– angesichts des völkerrechtlichen Vertrauensprinzips (vgl. Art. 26 des Wiener Übereinkommens vom 23. Mai 1969 über das Recht der Verträge [VRK; SR 0.111]; BGE 143 II 136 E. 5.2.1; 142 II 161 E. 2.1.3; 121 I 181 E. 2c/aa) und der langjährigen Zusammenarbeit im Bereich der internationalen Rechts- hilfe in Strafsachen keine Zweifel mehr daran bestehen, dass die Republik Ko- sovo die verlangten Garantien abgegeben hat;</w:t>
      </w:r>
    </w:p>
    <w:p>
      <w:r>
        <w:t>– zusammengefasst die Formulierung der Garantien wie von der Republik Ko- sovo gemäss Erklärung vom 7. Februar 2018 am 23. Januar 2018 abgegeben</w:t>
      </w:r>
    </w:p>
    <w:p>
      <w:r>
        <w:t>- 5 -</w:t>
      </w:r>
    </w:p>
    <w:p>
      <w:r>
        <w:t>derjenigen des BJ vom 28. Dezember 2017 entspricht und nicht zu beanstan- den ist; die dagegen erhobenen Rügen daher fehl gehen;</w:t>
      </w:r>
    </w:p>
    <w:p>
      <w:r>
        <w:t>– bezüglich des Antrags auf Entlassung aus der Auslieferungshaft auf die wei- terhin geltenden Ausführungen im Entscheid RR.2017.264 vom 22. Dezember 2017 (E. 8) verwiesen werden kann;</w:t>
      </w:r>
    </w:p>
    <w:p>
      <w:r>
        <w:t>– die Beschwerde somit in allen Punkten (inkl. akzessorischem Haftentlassungs- gesuch) abzuweisen ist und der Auslieferung nichts mehr entgegensteht;</w:t>
      </w:r>
    </w:p>
    <w:p>
      <w:r>
        <w:t>– bei diesem Ausgang des Verfahrens der Beschwerdeführer kostenpflichtig wird (vgl. Art. 63 Abs. 1 VwVG);</w:t>
      </w:r>
    </w:p>
    <w:p>
      <w:r>
        <w:t>– die Gerichtsgebühr auf Fr. 2'000.-- festzusetzen (vgl. Art. 63 Abs. 5 VwVG i.V.m. Art. 73 StBOG sowie Art. 5 und 8 Abs. 3 lit. a des Reglements des Bun- desstrafgerichts vom 31. August 2010 über die Kosten, Gebühren und Ent- schädigungen in Bundesstrafverfahren [BStKR; SR 173.713.162]) und der ge- leistete Kostenvorschuss von Fr. 2'000.-- (act. 6) anzurechnen ist.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