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RR.2018.61 vom 15. März 2018</w:t>
      </w:r>
    </w:p>
    <w:p>
      <w:r>
        <w:t>Bundesstrafgericht, 2018-03-15, DE</w:t>
      </w:r>
    </w:p>
    <w:p>
      <w:r>
        <w:rPr>
          <w:b/>
        </w:rPr>
        <w:t xml:space="preserve">Quelle: </w:t>
      </w:r>
      <w:r>
        <w:t>https://mcp.opencaselaw.ch/entscheid/bstger_RR.2018.61</w:t>
      </w:r>
    </w:p>
    <w:p>
      <w:r>
        <w:t>FR: TPF RR.2018.61 du 15 mars 2018</w:t>
      </w:r>
    </w:p>
    <w:p>
      <w:r>
        <w:t>IT: TPF RR.2018.61 del 15 marzo 2018</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sowie Art. 26 ff. des Beschlusses des Rates über die Ein- richtung, den Betrieb und die Nutzung des SIS der zweiten Generation (SIS II; ABl. L 205 vom 7. August 2007, S. 63-84), wobei die zwischen den Vertragsparteien geltenden weitergehenden Bestimmungen aufgrund bilate- 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w:t>
      </w:r>
    </w:p>
    <w:p>
      <w:r>
        <w:t>- 4 -</w:t>
      </w:r>
    </w:p>
    <w:p>
      <w:r>
        <w:t>137 IV 33 E. 2.2.2; 136 IV 82 E. 3.1). Vorbehalten bleibt die Wahrung der Menschenrechte (BGE 135 IV 212 E. 2.3; 123 II 595 E. 7c; TPF 2008 24 E. 1.1 S. 26).</w:t>
      </w:r>
    </w:p>
    <w:p>
      <w:r>
        <w:rPr>
          <w:b/>
        </w:rPr>
        <w:t>E. 1.3</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t>Der Auslieferungsentscheid vom 22. Januar 2018 wurde am 22. Feb- ruar 2018 – somit innerhalb der Beschwerdefrist – angefochten. Die übrigen Eintretensvoraussetzungen geben zu keinen Bemerkungen Anlass. Auf die Beschwerde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S. 84 zur altrechtlichen Verwaltungsgerichtsbeschwerde betreffend in- 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Auf die Ausführungen des Beschwerdeführers, die er bereits teilweise wort- getreu in der Beschwerde gegen die Abweisung seines Haftentlassungsge- suchs vorbrachte (act. 1, S. 4 bis 9), ist vorliegend nicht einzugehen. Diese Vorbringen wurden im Entscheid RH.2018.3 vom 20. Februar 2018 behan- delt und vollumfänglich abgewiesen (act. 4.3). Es sei erneut erwähnt, dass</w:t>
      </w:r>
    </w:p>
    <w:p>
      <w:r>
        <w:t>- 5 -</w:t>
      </w:r>
    </w:p>
    <w:p>
      <w:r>
        <w:t>der Beschwerdeführer trotz der am 4. Dezember 2017 erfolgten Mandatie- rung eines Rechtsvertreters auf dessen Teilnahme anlässlich seiner Einver- nahme vom 5. Dezember 2017 ausdrücklich verzichtete (RH.2018.3, Verfah- rensakten BJ, Urkunden 7, S. 2).</w:t>
      </w:r>
    </w:p>
    <w:p>
      <w:r>
        <w:rPr>
          <w:b/>
        </w:rPr>
        <w:t>E. 3.2</w:t>
      </w:r>
    </w:p>
    <w:p>
      <w:r>
        <w:t>Eine Verletzung des Anspruchs auf rechtliches Gehör ist entgegen der An- sicht des Beschwerdeführers vorliegend nicht zu erkennen. Dass der Be- schwerdegegner im Falle des Verhaftungs- und Befragungsauftrags der zu- ständigen Polizei ein Musterprotokoll zustellt, ist nicht zu beanstanden. Viel- mehr wird dadurch garantiert, dass die Einvernahme den Anforderungen des IRSG genügt. Ebenso nicht zu bemängeln ist der Umstand, dass der Be- schwerdegegner das Musterprotokoll, welches er der Polizei zusammen mit dem Haftbefehl zustellte (RH.2018.3, Verfahrensakten BJ, Urkunde 5) im vorliegenden Beschwerdeverfahren nicht ins Recht legte. Zur Beurteilung der vorliegenden Beschwerde ist insbesondere das von der Polizei erstellte Einvernahmeprotokoll von Bedeutung. Inwiefern das vom Beschwerdegeg- ner an die Polizei zugestellte leere Musterprotokoll entscheidrelevant sein soll (vgl. Entscheid des Bundesstrafgerichts RR.2007.27 vom 10. April 2007 E. 3.2), ist nicht ersichtlich.</w:t>
      </w:r>
    </w:p>
    <w:p>
      <w:r>
        <w:rPr>
          <w:b/>
        </w:rPr>
        <w:t>E. 3.3</w:t>
      </w:r>
    </w:p>
    <w:p>
      <w:r>
        <w:t>Selbst wenn der Beschwerdeführer anlässlich der Einvernahme vom 5. De- zember 2017 nicht das gesamte Auslieferungsersuchen hat sichten können, wie dies von ihm behauptet wird, ist eine Verletzung des rechtlichen Gehörs zu verneinen. Zum einen wurde der Inhalt des Auslieferungsersuchens dem Beschwerdeführer zusammengefasst vorgehalten und auf Italienisch über- setzt (RH.2018.3, Verfahrensakten BJ, Urkunde 7, S. 1). Zum anderen hatte sein damaliger Rechtsvertreter, Rechtsanwalt B. am 11. Dezember 2017 Ak- teneinsicht verlangt und mit Eingabe vom 4. Januar 2017 (recte: 2018) zum Auslieferungsersuchen ausführlich Stellung genommen (RH.2018.3, Verfah- rensakten BJ, Urkunden 10 und 15). Damit geht die Rüge fehl.</w:t>
      </w:r>
    </w:p>
    <w:p>
      <w:r>
        <w:rPr>
          <w:b/>
        </w:rPr>
        <w:t>E. 4.1</w:t>
      </w:r>
    </w:p>
    <w:p>
      <w:r>
        <w:t>Des Weiteren bestreitet der Beschwerdeführer das Vorliegen der doppelten Strafbarkeit (act. 1, S. 12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Tatbestandsmerkmale</w:t>
      </w:r>
    </w:p>
    <w:p>
      <w:r>
        <w:t>- 6 -</w:t>
      </w:r>
    </w:p>
    <w:p>
      <w:r>
        <w:t>einer schweizerischen Strafnorm erfüllen würde (Entscheid des Bundesstraf- gerichts RR.2009.257 vom 29. März 2010 E. 3.2 mit Hinweisen). Die Straf- normen brauchen nach den Rechtssystemen der Schweiz und des ersu- 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2014, S. 536 N. 583). Anders als im Bereich der "akzessori- schen" Rechtshilfe ist die Voraussetzung der beidseitigen Strafbarkeit im Auslieferungsrecht für jeden Sachverhalt, für den die Schweiz die Ausliefe- rung gewähren soll, gesondert zu prüfen (BGE 125 II 569 E. 6 S. 575; Ent- scheid des Bundesstrafgerichts RR.2007.55 vom 5. Juli 2007 E. 6.2).</w:t>
      </w:r>
    </w:p>
    <w:p>
      <w:r>
        <w:rPr>
          <w:b/>
        </w:rPr>
        <w:t>E. 4.3</w:t>
      </w:r>
    </w:p>
    <w:p>
      <w:r>
        <w:t>Gemäss dem mit dem Auslieferungsersuchen eingereichten Entscheid des Gerichts von Reggio Calabria vom 24. November 2016 wird dem Beschwer- deführer die Mitgliedschaft in einer mafiösen Organisation i.S.v. Art. 416-bis des italienischen Strafgesetzbuches vorgeworfen (RH.2018.3, Verfahrens- akten BJ, Urkunde 2e, S. 6). Im Folgenden ist zu prüfen, ob sich der in den Auslieferungsunterlagen dargestellte Sachverhalt unter Art. 260ter StGB sub- sumieren lässt.</w:t>
      </w:r>
    </w:p>
    <w:p>
      <w:r>
        <w:rPr>
          <w:b/>
        </w:rPr>
        <w:t>E. 4.4.1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w:t>
      </w:r>
    </w:p>
    <w:p>
      <w:r>
        <w:rPr>
          <w:b/>
        </w:rPr>
        <w:t>E. 4.4.2</w:t>
      </w:r>
    </w:p>
    <w:p>
      <w:r>
        <w:t>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w:t>
      </w:r>
    </w:p>
    <w:p>
      <w:r>
        <w:t>- 7 -</w:t>
      </w:r>
    </w:p>
    <w:p>
      <w:r>
        <w:t>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 (vgl. Urteil des Bundesgerichts 6B_1132/2016 vom 7. März 2017 E. 1.3.1 mit Hinweisen).</w:t>
      </w:r>
    </w:p>
    <w:p>
      <w:r>
        <w:rPr>
          <w:b/>
        </w:rPr>
        <w:t>E. 4.4.3</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w:t>
      </w:r>
    </w:p>
    <w:p>
      <w:r>
        <w:rPr>
          <w:b/>
        </w:rPr>
        <w:t>E. 4.4.4</w:t>
      </w:r>
    </w:p>
    <w:p>
      <w:r>
        <w:t>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w:t>
      </w:r>
    </w:p>
    <w:p>
      <w:r>
        <w:t>- 8 -</w:t>
      </w:r>
    </w:p>
    <w:p>
      <w:r>
        <w:t>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4.4.5</w:t>
      </w:r>
    </w:p>
    <w:p>
      <w:r>
        <w:t>Die ʼNdrangheta, wie auch die übrigen mafiösen Gruppierungen, streben bzw. üben die Kontrolle über gewisse Gebiete aus. Dass es sich bei der ka- labrischen ʼNdrangheta um eine kriminelle Organisation i.S.v. Art. 260ter StGB handelt, ist unbestritten (TPF 2010 29 E. 3.1; vgl. statt vieler Entscheid des Bundesstrafgerichts RR.2016.246 vom 14. Februar 2017 E. 3.3.3 m.w.H., sowie Nichteintretensentscheid des Bundesgerichts 1C_129/2017 vom 20. März 2017 E. 1.2). Namentlich besteht sie aus mindestens drei Mit- gliedern, hält ihre Struktur und ihren Einfluss geheim, basiert auf einer Schweigepflicht (sog. Omertà) und verfolgt einen kriminellen Zweck (statt vieler Entscheid des Bundesstrafgerichts RR.2016.251 vom 21. Juli 2017 E. 3.5.2 f. m.H.). Aufgrund der pyramidalen Struktur der ʼNdrangheta, ist da- von auszugehen, dass auch die ihr unterstehenden Zellen deren integrierten Teil darstellen und folglich ebenfalls als eine kriminelle Organisation zu qua- lifizieren sind (Entscheid des Bundesstrafgerichts RR.2016.246 vom 14. Februar 2017 E. 3.5.2, sowie Nichteintretensentscheid des Bundesge- richts 1C_129/2017 vom 20. März 2017; statt vieler Entscheid des Bun- desstrafgerichts RR.2016.251 vom 21. Juli 2017 E. 3.6.1; sowie Nichteintre- tensentscheid des Bundesgerichts 1C_399/2017 vom 21. September 2017). Dies jedoch unter der Bedingung, dass die zur Beurteilung stehende Zelle eine gewisse Abhängigkeit von der Mutterorganisation aufweist und in die Letztere integriert ist.</w:t>
      </w:r>
    </w:p>
    <w:p>
      <w:r>
        <w:rPr>
          <w:b/>
        </w:rPr>
        <w:t>E. 4.5</w:t>
      </w:r>
    </w:p>
    <w:p>
      <w:r>
        <w:t>Aus dem in den Auslieferungsunterlagen dargestellten und mangels offen- sichtlicher Fehler oder Widersprüche für den Rechtshilferichter verbindlichen Sachverhalt geht zusammengefasst hervor, dass in der Gemeinde Z. (Reg- gio Calabria) zwei Zellen der ʼNdrangheta ermittelt werden konnten. Es han- delt sich dabei um die Clans C. und D., die auch in der Lombardei sowie im Ausland deliktisch tätig sein sollen. Die mafiösen Familien hätten den Willen, sich auf dem Territorium zu behaupten und es herrsche zwischen den Clans eine gewisse Rivalität. Weiter hätten die Ermittlungen ergeben, dass die bei- den Clans eine flächendeckende Kontrolle und Macht auf dem Territorium hätten und sich dank Einnahmen aus Erpressungen und aus dem Drogen- handel finanzieren würden. Die Bevölkerung sei verängstigt und schweige.</w:t>
      </w:r>
    </w:p>
    <w:p>
      <w:r>
        <w:t>- 9 -</w:t>
      </w:r>
    </w:p>
    <w:p>
      <w:r>
        <w:t>In Bezug auf den Beschwerdeführer wird ausgeführt, er sei eine Vertrauens- person von E. gewesen, der zur Spitze des C. Clans gehöre, und habe für den ʼNdrangheta Clan C. zwischen 2013 und 2016 in Z., Y. und in der Lom- bardei diverse Aktivitäten ausgeübt. Insbesondere wird dem Beschwerde- führer vorgeworfen, zugunsten der kriminellen Organisation illegal Waffen eingeführt und Erpressungen begangen zu haben (RH.2018.3, Verfahrens- akten BJ, Urkunde 2e, S. 68 ff., 1229 ff.; Urkunde 4, S. 1 ff.).</w:t>
      </w:r>
    </w:p>
    <w:p>
      <w:r>
        <w:rPr>
          <w:b/>
        </w:rPr>
        <w:t>E. 4.6</w:t>
      </w:r>
    </w:p>
    <w:p>
      <w:r>
        <w:t>Der Beschwerdeführer bestreitet nicht, dass es sich beim C. Clan um eine Zelle der ʼNdrangheta handle, zu deren Mitgliedern sein Jugendfreund E. zähle (act. 1, S. 13). Da dem Beschwerdeführer die Mitgliedschaft im C. Clan vorgeworfen wird, ist daher davon auszugehen, dass der ihm vorgeworfene Sachverhalt prima facie unter Art. 260ter Ziff. 1 Abs. 1 StGB subsumiert wer- den kann. Soweit sich die Ausführungen des Beschwerdeführers auf seine Strafbarkeit beziehen, ist er auf das italienische Strafverfahren zu verweisen. Die Rolle des Beschwerdeführers innerhalb des C. Clans und das Verhältnis des Beschwerdeführers zu E. wird das italienische Sachgericht zu beurteilen haben. Es ist nicht Sache des Rechtshilferichters, die Tat- und Schuldfragen zu beurteilen. Entsprechend wird der Beschwerdeführer das hier vorge- brachte Argument, er habe sich von seinem Jungendfreund E. distanziert, im Rahmen des italienischen Strafverfahrens vorbringen können. Der Be- schwerdeführer wurde wiederholt zusammen mit diversen mutmasslichen Mitgliedern der C. gesehen, wobei deren Gespräche teilweise die Ermor- dung von ʼNdrangheta Mitgliedern, das Untertauchen des Beschwerdefüh- rers im Falle seiner Verurteilung sowie die illegale Einfuhr von Waffen an der Grenze Como-Chiasso zum Gegenstand hatten (RH.2018.3, Verfahrensak- ten BJ, Urkunde 2e, S. 1229 ff.). Unter diesen Umständen können die von den italienischen Strafbehörden registrierten Gesprächen zwischen dem Be- schwerdeführer und E. nicht als offene Gespräche unter Freunden über die „Arbeit“ erachtet werden. Die Rüge geht fehl.</w:t>
      </w:r>
    </w:p>
    <w:p>
      <w:r>
        <w:rPr>
          <w:b/>
        </w:rPr>
        <w:t>E. 5.1</w:t>
      </w:r>
    </w:p>
    <w:p>
      <w:r>
        <w:t>Schliesslich wendet der Beschwerdeführer ein, dass ihm im Falle einer Rück- kehr nach Italien durch die Mitglieder des C. Clans Gefahr an Leib und Leben drohe (act. 1, S. 14 f.).</w:t>
      </w:r>
    </w:p>
    <w:p>
      <w:r>
        <w:rPr>
          <w:b/>
        </w:rPr>
        <w:t>E. 5.2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w:t>
      </w:r>
    </w:p>
    <w:p>
      <w:r>
        <w:t>- 10 -</w:t>
      </w:r>
    </w:p>
    <w:p>
      <w:r>
        <w:t>– und nicht vom ersuchenden Staat – ausgehen könnte, als Auslieferungs- hindernis vor (vgl. Entscheide des Bundesstrafgerichts RR.2016.278 vom 1. März 2017 E. 4.6.11; RR.2015.61 vom 13. Mai 2015 E. 4.2.2; RR.2011.183 vom 26. September 2011 E. 5.2; RR.2011.10 vom 16. Feb- ruar 2011 E. 3.2). Zwar haben sich diverse Vertragsstaaten des EAUe zur Auslieferungsverpflichtung gemäss Art. 1 EAUe vorbehalten, die Ausliefe- rung zu verweigern, wenn sich daraus ausserordentlich schwere Folgen für die auszuliefernde Person ergeben können (s. Urteil des Bundesgerichts A.189/86 vom 1. Oktober 1986 E. 2a). Ein dahingehender Vorbehalt zu Art. 1 EAUe wurde jedoch weder von Italien noch von der Schweiz angebracht. Im Übrigen reichen die nicht näher dargelegten Ausführungen des Beschwer- deführers, wonach er in Italien über seinen Jugendfreund E. Aussagen ma- chen könnte, die ihn in Gefahr bringen könnten, zur Glaubhaftmachung, dass Italien nicht in der Lage sei, alle notwendigen Massnahmen zu ergreifen, um seinen Schutz während des Strafverfahrens sowie der allfälligen Strafvoll- streckung zu gewährleisten, nicht aus (vgl. statt vieler Entscheid des Bun- desstrafgerichts RR.2013.175 vom 23. Oktober 2013 E. 4.4).</w:t>
      </w:r>
    </w:p>
    <w:p>
      <w:r>
        <w:rPr>
          <w:b/>
        </w:rPr>
        <w:t>E. 6</w:t>
      </w:r>
    </w:p>
    <w:p>
      <w:r>
        <w:t>Die Beschwerde erweist sich nach dem Gesagten als unbegründet und ist vollumfänglich abzuweisen.</w:t>
      </w:r>
    </w:p>
    <w:p>
      <w:r>
        <w:rPr>
          <w:b/>
        </w:rPr>
        <w:t>E. 7.1</w:t>
      </w:r>
    </w:p>
    <w:p>
      <w:r>
        <w:t>Angesichts des Unterliegens des Beschwerdeführers würde er grundsätzlich kostenpflichtig (Art. 63 Abs. 1 VwVG). Mit Eingabe vom 22. Februar 2018 hat er um Gewährung der unentgeltlichen Rechtspflege und um Einsetzung eines unentgeltlichen Rechtsbeistandes ersucht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- 11 -</w:t>
      </w:r>
    </w:p>
    <w:p>
      <w:r>
        <w:t>Eine Person ist bedürftig, wenn sie nicht in der Lage ist, für die Prozesskos- ten aufzukommen, ohne dass sie Mittel beanspruchen müsste, die zur De- ckung des Grundbedarfs für sie selbst und ihre Familie notwendig sind (BGE 128 I 225 E. 2.5.1 S. 232; 127 I 202 E. 3b S. 205). Die prozessuale Bedürftigkeit beurteilt sich nach der gesamten wirtschaftlichen Situation des Rechtsuchenden im Zeitpunkt der Einreichung des Gesuchs. Dazu gehören einerseits sämtliche finanziellen Verpflichtungen, andererseits die Einkom- mens- und Vermögensverhältnisse (BGE 124 I 1 E. 2a; 120 Ia 179 E. 3a). Leben die Ehegatten in einer Haushaltgemeinschaft, sind bei der Beurteilung der Bedürftigkeit einer gesuchstellenden Partei das Einkommen und das Vermögen des beitrags- oder beistandspflichtigen Ehegatten mitzuberück- sichtigen (BGE 127 I 202 E. 3b; 119 Ia 11 E. 3a; Entscheide des Bundesstraf- gerichts RR.2009.230, RP.2009.30 vom 16. Februar 2010 E. 7.2; BH.2007.11 vom 11. Oktober 2011 E.7.1; BÜHLER, Betreibungs- und pro- zessrechtliches Existenzminimum, AJP 2002, S. 658 m.w.H.). Es obliegt grundsätzlich dem Gesuchsteller, seine Einkommens- und Vermögensver- hältnisse umfassend darzulegen und soweit als möglich zu belegen (BGE 120 Ia 179 E. 3a S. 182).</w:t>
      </w:r>
    </w:p>
    <w:p>
      <w:r>
        <w:rPr>
          <w:b/>
        </w:rPr>
        <w:t>E. 7.3</w:t>
      </w:r>
    </w:p>
    <w:p>
      <w:r>
        <w:t>Die Beschwerde ist aufgrund des vorgängig Ausgeführten als aussichtslos zu bezeichnen (vgl. insb. E. 3, 4.6 und 5.2), weshalb das Gesuch um unent- geltliche Rechtspflege und Rechtsverbeiständung bereits aus diesem Grund abzuweisen ist.</w:t>
      </w:r>
    </w:p>
    <w:p>
      <w:r>
        <w:t>Bei diesem Ausgang des Verfahrens hat der Beschwerdeführer die Gerichts- kosten zu tragen (Art. 63 Abs. 1 VwVG). Indes ist dem Beschwerdeführer infolge der sich aus den Akten ergebenden finanziellen Situation eine redu- zierte Gerichtsgebühr von Fr. 2'000.-- aufzuerlegen (Art. 63 Abs. 5 VwVG und Art. 73 StBOG sowie Art. 5 und 8 Abs. 3 lit. a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