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RR.2018.56 vom 26. Juni 2018</w:t>
      </w:r>
    </w:p>
    <w:p>
      <w:r>
        <w:t>Bundesstrafgericht, 2018-06-26, FR</w:t>
      </w:r>
    </w:p>
    <w:p>
      <w:r>
        <w:rPr>
          <w:b/>
        </w:rPr>
        <w:t xml:space="preserve">Quelle: </w:t>
      </w:r>
      <w:r>
        <w:t>https://mcp.opencaselaw.ch/entscheid/bstger_RR.2018.56</w:t>
      </w:r>
    </w:p>
    <w:p>
      <w:r>
        <w:t>FR: TPF RR.2018.56 du 26 juin 2018</w:t>
      </w:r>
    </w:p>
    <w:p>
      <w:r>
        <w:t>IT: TPF RR.2018.56 del 26 giugno 2018</w:t>
      </w:r>
    </w:p>
    <w:p>
      <w:pPr>
        <w:pStyle w:val="Heading2"/>
      </w:pPr>
      <w:r>
        <w:t>Regeste</w:t>
      </w:r>
    </w:p>
    <w:p>
      <w:r>
        <w:t>Entraide judiciaire internationale en matière pénale à la Belgique. Remise de moyens de preuve (art. 74 EIMP). Remise en vue de confiscation (art. 74a EIMP). Durée de la saisie (art. 33a OEIMP).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(arrêt du Tribunal pénal fédéral RR.2008.98 du 18 décembre 2008 consid. 1.3). Peut également s’appliquer en l’occurrence la Convention européenne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13 février 2018, le recours contre la décision de clôture notifiée le 15 janvier 2018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w:t>
      </w:r>
    </w:p>
    <w:p>
      <w:r>
        <w:t>- 5 -</w:t>
      </w:r>
    </w:p>
    <w:p>
      <w:r>
        <w:t>titulaire d’un compte bancaire la qualité pour recourir contre la remise à l’Etat requérant d’informations relatives à ce compte (ATF 137 IV 134 consid. 5; 118 Ib 547 consid. 1d). En application de ces principes, la qualité pour recourir doit être reconnue à A., en tant que titulaire de la relation bancaire mentionnée plus haut et visée par les mesures querellées (v. supra let. B.).</w:t>
      </w:r>
    </w:p>
    <w:p>
      <w:r>
        <w:rPr>
          <w:b/>
        </w:rPr>
        <w:t>E. 1.5</w:t>
      </w:r>
    </w:p>
    <w:p>
      <w:r>
        <w:t>Le recours est ainsi recevable et il convient d’entrer en matière.</w:t>
      </w:r>
    </w:p>
    <w:p>
      <w:r>
        <w:rPr>
          <w:b/>
        </w:rPr>
        <w:t>E. 2</w:t>
      </w:r>
    </w:p>
    <w:p>
      <w:r>
        <w:t>Sur le fond, le recourant estime que la double incrimination, condition sine qua non à l’octroi de l’entraide, ne serait pas réalisée en l’espèce, malgré les compléments reçus par les autorités belges (act. 1, p. 14 ss).</w:t>
      </w:r>
    </w:p>
    <w:p>
      <w:r>
        <w:rPr>
          <w:b/>
        </w:rPr>
        <w:t>E. 2.1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par un délit politique ou fiscal (art. 2 al. 1 let. a CEEJ) et que le principe de la proportionnalité est respecté (ATF 118 Ib 111 consid. 4b et arrêt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arrêts cités). L’autorité suisse saisie d’une requête d’entraide en matière pénale n’a pas à se prononcer sur les réalités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La remise de documents bancaires est une mesure de contrainte au sens de l’art. 63 al. 2 let. c EIMP, qui ne peut être ordonnée, selon l’art. 64 al. 1 EIMP mis en relation avec la réserve faite par la Suisse à l’art. 5 ch. 1 let. a CEEJ, qui si l’état de fait exposé dans la demande correspond, prima facie, aux éléments constitutifs d’une infraction réprimée par le droit suisse. L’examen</w:t>
      </w:r>
    </w:p>
    <w:p>
      <w:r>
        <w:t>- 6 -</w:t>
      </w:r>
    </w:p>
    <w:p>
      <w:r>
        <w:t>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arrêts cités).</w:t>
      </w:r>
    </w:p>
    <w:p>
      <w:r>
        <w:rPr>
          <w:b/>
        </w:rPr>
        <w:t>E. 2.3</w:t>
      </w:r>
    </w:p>
    <w:p>
      <w:r>
        <w:t>Les autorités belges sollicitent la coopération des autorités suisses dans le cadre d’une enquête menée à l’encontre de B. SA, suite à une plainte du Président de l’Association D. pour le droit des marques et modèles. La société B. SA transmettrait des factures non sollicitées aux titulaires de marques, avec une indication des services à fournir « pour renouvellement de la marque pour 10 ans » (act. 1.4). Dans son arrêt du 30 août 2017, la Cour de céans a considéré que l’entraide ne pouvait, en l’état, être accordée aux autorités belges dès lors que la condition de la double incrimination n’était pas réalisée. Les faits exposés dans la demande d’entraide n’étaient pas suffisamment précis pour déterminer si la condition de l’astuce était véritablement réalisée. La Cour avait ainsi retenu que le procédé mis en place par les prévenus aurait plutôt dû attirer l’attention des destinataires de factures litigieuses, singulièrement les « victimes » membres d’une « association professionnelle de juristes spécialisés » (act. 1.8). Dans sa demande ampliative, l’autorité requérante précise que le formulaire de demande de renouvellement de la protection de la marque utilisée par B. SA a un graphisme pratiquement identique à celui de D. De plus, préalablement aux fausses factures, les « victimes » recevraient un formulaire à remplir, ce qui les rendraient moins suspicieuses ensuite à réception d’une facture (act. 1.11).</w:t>
      </w:r>
    </w:p>
    <w:p>
      <w:r>
        <w:rPr>
          <w:b/>
        </w:rPr>
        <w:t>E. 2.4</w:t>
      </w:r>
    </w:p>
    <w:p>
      <w:r>
        <w:t>L’escroquerie se définit, en droit suisse, comme le fait de celui qui, dans le dessein de se procurer ou de procurer à un tiers un enrichissement illégitime, induit astucieusement en erreur une personne par des affirmations fallacieuses ou par la dissimulation de faits vrais, ou exploite l’erreur dans laquelle se trouve une personne et détermine de la sorte la victime à des actes préjudiciables à ses intérêts pécuniaires ou à ceux d’un tiers (art. 146 ch. 1 CP). L’astuce au sens de cette disposition est réalisée non seulement lorsque l’auteur utilise un édifice de mensonges, des manœuvres frauduleuses ou une mise en scène, mais aussi lorsqu’il fait de fausses déclarations dont la vérification ne serait possible qu’au prix d’un effort</w:t>
      </w:r>
    </w:p>
    <w:p>
      <w:r>
        <w:t>- 7 -</w:t>
      </w:r>
    </w:p>
    <w:p>
      <w:r>
        <w:t>particulier ou ne pourrait raisonnablement être exigée, ou encore lorsque l’auteur dissuade la victime de les contrôler, voire prévoit, d’après les rapports de confiance particuliers qui les lient à la victime, que celle-ci ne les vérifiera pas (ATF 128 IV 18 consid. 3a; 126 IV 165 consid. 2a; 122 IV 146 consid. 3a et arrêts cités). Il y a notamment manœuvre frauduleuse lorsque l’auteur fait usage de titres falsifiés ou obtenus sans droit ou de documents mensongers (ATF 128 IV 18 consid. 3a). En tout état de cause, il convient toujours de se demander si la dupe, en faisant preuve d’un minimum d’attention, pouvait éviter facilement d’être trompée (ATF 122 IV 205 consid. 3d). L’astuce n’est pas réalisée si la dupe pouvait se protéger avec un minimum d’attention ou éviter l’erreur avec le minimum d’attention que l’on pouvait attendre d’elle. Il n’est pas nécessaire, pour qu’il y ait escroquerie, que la dupe ait fait preuve de la plus grande diligence et qu’elle ait recours à toutes les mesures de prudence possibles; la question n’est donc pas de savoir si elle a fait tout ce qu’elle pouvait pour éviter d’être trompée (arrêt du Tribunal fédéral 6S.740/1997 du 18 février 1998, reproduit in SJ 1998 p. 457, consid. 2; ATF 122 IV 246 consid. 3a). L’astuce n’est exclue que lorsque la dupe est coresponsable du dommage en ce qu’elle n’a pas observé les mesures de prudence élémentaires qui s’imposaient (ATF 126 IV 165 consid. 2a; ATF 119 IV 28 consid. 33).</w:t>
      </w:r>
    </w:p>
    <w:p>
      <w:r>
        <w:rPr>
          <w:b/>
        </w:rPr>
        <w:t>E. 2.5</w:t>
      </w:r>
    </w:p>
    <w:p>
      <w:r>
        <w:t>Le MP-VD a dès lors considéré, sur la base des informations obtenues dans le demande ampliative, que le mécanisme utilisé par la société B. SA, consistant à envoyer préalablement un formulaire de demande de renouvellement puis, dans un deuxième temps, une facture, constituait un procédé « à double détente », lequel est bel est bien constitutif d’une mise en scène frauduleuse, avec usage de documents mensongers (act. 1.2, p. 5- 6). Les personnes ou sociétés auxquelles seraient adressées ces factures sont en outre actives dans tous les secteurs et ne sont dès lors pas spécialisées dans les affaires juridiques ou le droit de la propriété intellectuelle. Enfin, le graphisme utilisé par B. SA serait quasiment identique à celui de D. Ces éléments confortent ainsi le caractère astucieux des agissements précités.</w:t>
      </w:r>
    </w:p>
    <w:p>
      <w:r>
        <w:rPr>
          <w:b/>
        </w:rPr>
        <w:t>E. 2.6</w:t>
      </w:r>
    </w:p>
    <w:p>
      <w:r>
        <w:t>Par conséquent, au vu des nouveaux éléments apportés par l’autorité requérante, particulièrement du procédé de « double détente » mis en évidence, force est de constater que la mise en scène frauduleuse rend l’astuce au sens de l’art. 146 CP vraisemblable. Cet acte a de plus conduit les « victimes » à se faire une représentation inexacte de la réalité. Le procédé mis en place a ainsi préalablement mis en confiance les dupes quant à la véracité des informations présentées, de sorte qu’elles n’avaient plus aucun doute quant au bien-fondé des factures reçues. Le caractère astucieux, lequel n’était pas suffisamment étayé lors de la première</w:t>
      </w:r>
    </w:p>
    <w:p>
      <w:r>
        <w:t>- 8 -</w:t>
      </w:r>
    </w:p>
    <w:p>
      <w:r>
        <w:t>demande d’entraide est désormais démontré à satisfaction pour admettre que la condition de la double incrimination est réalisée. Mal fondé, ce grief doit être rejeté.</w:t>
      </w:r>
    </w:p>
    <w:p>
      <w:r>
        <w:rPr>
          <w:b/>
        </w:rPr>
        <w:t>E. 3</w:t>
      </w:r>
    </w:p>
    <w:p>
      <w:r>
        <w:t>Le recourant estime ensuite que, dans l’hypothèse où l’autorité de céans déciderait que la demande d’entraide judiciaire doit être accordée, la remise de documents et d’informations concernant son compte devait être limité à la période allant du 1er janvier 2012 au 29 janvier 2016 car c’est durant cette période qu’il aurait reçu des fonds selon l’enquête pénale belge (act. 1, p. 17). Le recourant invoque ainsi une violation du principe de la proportionnalité.</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w:t>
      </w:r>
    </w:p>
    <w:p>
      <w:r>
        <w:t>- 9 -</w:t>
      </w:r>
    </w:p>
    <w:p>
      <w:r>
        <w:t>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3.2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w:t>
      </w:r>
    </w:p>
    <w:p>
      <w:r>
        <w:t>- 10 -</w:t>
      </w:r>
    </w:p>
    <w:p>
      <w:r>
        <w:t>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En vertu de la jurisprudence précitée, particulièrement du principe de l’utilité potentielle, il se justifie dès lors que l’autorité requérante puisse prendre connaissance de la documentation bancaire dans son ensemble. Comme indiqué précédemment (supra, consid. 3.3), l’utilité de la documentation bancaire découle du fait que l’autorité requérante peut vouloir vérifier que les agissements qu’elle connaît déjà n’ont pas été précédés ou suivis d’actes du même genre. Ces informations sont ainsi de nature à présenter un intérêt pour l’enquête en cours des autorités belges et sont en lien avec celle-ci. Au vu de ce qui précède, il ne se justifie pas de limiter les informations à transmettre à la période allant du 1er janvier 2012 au 29 janvier 2016.</w:t>
      </w:r>
    </w:p>
    <w:p>
      <w:r>
        <w:rPr>
          <w:b/>
        </w:rPr>
        <w:t>E. 4</w:t>
      </w:r>
    </w:p>
    <w:p>
      <w:r>
        <w:t>Les considérants qui précèdent conduisent au rejet du recours.</w:t>
      </w:r>
    </w:p>
    <w:p>
      <w:r>
        <w:rPr>
          <w:b/>
        </w:rPr>
        <w:t>E. 5</w:t>
      </w:r>
    </w:p>
    <w:p>
      <w:r>
        <w:t>Les frais de procédure comprenant l’émolument d‘arrêté, les émoluments de chancellerie et les débous,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de CHF 5'000.--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