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RR.2018.55 vom 21. Februar 2018</w:t>
      </w:r>
    </w:p>
    <w:p>
      <w:r>
        <w:t>Bundesstrafgericht, 2018-02-21, DE</w:t>
      </w:r>
    </w:p>
    <w:p>
      <w:r>
        <w:rPr>
          <w:b/>
        </w:rPr>
        <w:t xml:space="preserve">Quelle: </w:t>
      </w:r>
      <w:r>
        <w:t>https://mcp.opencaselaw.ch/entscheid/bstger_RR.2018.55</w:t>
      </w:r>
    </w:p>
    <w:p>
      <w:r>
        <w:t>FR: TPF RR.2018.55 du 21 février 2018</w:t>
      </w:r>
    </w:p>
    <w:p>
      <w:r>
        <w:t>IT: TPF RR.2018.55 del 21 febbraio 2018</w:t>
      </w:r>
    </w:p>
    <w:p>
      <w:pPr>
        <w:pStyle w:val="Heading2"/>
      </w:pPr>
      <w:r>
        <w:t>Regeste</w:t>
      </w:r>
    </w:p>
    <w:p>
      <w:r>
        <w:t>Internationale Rechtshilfe in Strafsachen an Frankreich. Berichtigung (Art. 40 StBOG i.V.m. Art. 129 Abs. 1 BGG).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Februar 2018 in Anwendung von Art. 37 Abs. 2 lit. a StBOG erging, für dessen Revision, Erläuterung und Berichtigung mithin die Art. 121–129 BGG sinngemäss gelten;</w:t>
      </w:r>
    </w:p>
    <w:p>
      <w:r>
        <w:t>- demnach die Beschwerdekammer des Bundesstrafgerichts auf schriftliches Gesuch einer Partei oder von Amtes wegen die Erläuterung oder Berichti- gung ihres Entscheids vornimmt, wenn das Dispositiv unklar, unvollständig oder zweideutig ist, wenn seine Bestimmungen untereinander oder mit der Begründung im Widerspruch stehen oder wenn es Redaktions- oder Rech- nungsfehler enthält (Art. 129 Abs. 1 BGG i.V.m. Art. 40 Abs. 1 StBOG);</w:t>
      </w:r>
    </w:p>
    <w:p>
      <w:r>
        <w:t>- die Gesuchstellerin mit ihrem Gesuch um Berichtigung in keiner Weise dar- legt, inwiefern das Dispositiv unklar, unvollständig oder zweideutig sei, seine Bestimmungen untereinander oder mit der Begründung im Widerspruch stünden oder es Redaktions- oder Rechnungsfehler enthalte; Entsprechen- des auch nicht ersichtlich ist;</w:t>
      </w:r>
    </w:p>
    <w:p>
      <w:r>
        <w:t>- mithin auf das Gesuch um Berichtigung – ohne Durchführung eines Schrif- tenwechsels (Art. 127 e contrario i.V.m. Art. 129 Abs. 3 BGG i.V.m. Art. 40 Abs. 1 StBOG) – bereits deshalb nicht einzutreten ist (vgl. BGE 101 Ib 220 E. 3; Urteile des Bundesgerichts 8G_3/2011 vom 20. Juni 2011; 8G_1/2011 vom 1. März 2011; Entscheide des Bundesstrafgerichts RR.2009.164 vom 19. Mai 2009; RR.2009.166 vom 19. Mai 2009; Beschluss des Bundesstraf- gerichts BB.2008.66 vom 25. August 2008 E. 1; ESCHER, Basler Kommentar,</w:t>
      </w:r>
    </w:p>
    <w:p>
      <w:r>
        <w:rPr>
          <w:b/>
        </w:rPr>
        <w:t>E. 2</w:t>
      </w:r>
    </w:p>
    <w:p>
      <w:r>
        <w:t>Aufl. 2011, Art. 129 BGG N. 5);</w:t>
      </w:r>
    </w:p>
    <w:p>
      <w:r>
        <w:t>- im Übrigen die Gesuchstellerin mit ihrem Gesuch um Berichtigung darauf abzielt, (angebliche) Fehler in der Entscheidbegründung zu beseitigen; Feh- ler im Inhalt eines Entscheids nicht auf dem Weg der Berichtigung beseitigt werden können (vgl. RHINOW/KOLLER/KISS/THURNHERR/BRÜHL-MOSER, Öf- fentliches Prozessrecht, 3. Aufl. 2014, N. 1738); falsche tatsächliche Annah- men, Tatsachen- oder Rechtsirrtümer oder Fehler in der Erhebung, die dem Entscheid zugrunde liegen, vielmehr innert Frist auf dem Rechtsmittelweg geltend zu machen sind (vgl. Urteil des Bundesverwaltungsgerichts A-8408/2010 vom 18. Januar 2011 E. 1.1.2; KIENER/RÜTSCHE/KUHN, Öffent- liches Verfahrensrecht, 2. Aufl. 2015, N. 2032; MOSER/BEUSCH/KNEUBÜHLER, Prozessieren vor dem Bundesverwaltungsgericht, 2. Aufl. 2013, N. 5.79</w:t>
      </w:r>
    </w:p>
    <w:p>
      <w:r>
        <w:t>- 4 -</w:t>
      </w:r>
    </w:p>
    <w:p>
      <w:r>
        <w:t>m.w.H.); auf das Gesuch um Berichtigung auch deswegen nicht einzutreten wäre;</w:t>
      </w:r>
    </w:p>
    <w:p>
      <w:r>
        <w:t>- eine Wiedererwägung von Entscheiden der Beschwerdekammer des Bun- desstrafgerichts in internationalen Rechtshilfeangelegenheiten nicht zuläs- sig ist (vgl. hierzu Entscheide des Bundesstrafgerichts RR.2012.212 vom 23. Oktober 2012; RR.2009.164 vom 19. Mai 2009; RR.2009.166 vom 19. Mai 2009; RR.2009.136 vom 14. April 2009; RR.2009.137 vom 14. April 2009; RR.2009.49 vom 5. März 2009; ferner HÄFELIN/MÜLLER/UHLMANN, All- gemeines Verwaltungsrecht, 7. Aufl. 2016, N. 1278; RHINOW/KOL- LER/KISS/THURNHERR/BRÜHL-MOSER, a.a.O., N. 1306);</w:t>
      </w:r>
    </w:p>
    <w:p>
      <w:r>
        <w:t>- mithin auch auf das zum vornherein unzulässige, eventualiter gestellte Ge- such um Wiedererwägung – ohne Durchführung eines Schriftenwechsel (Art. 57 Abs. 1 VwVG e contrario) – nicht einzutreten ist;</w:t>
      </w:r>
    </w:p>
    <w:p>
      <w:r>
        <w:t>- das Gesuch um Wiedererwägung in Anbetracht des Umstands, dass es von zwei Advokaten eingereicht wurde, auch nicht als Revisionsgesuch entge- genzunehmen ist, zumal sich die Revision gegen formell rechtskräftige Ent- scheide richtet (vgl. nur HÄFELIN/MÜLLER/UHLMANN, a.a.O., N. 1219, 1265; KIENER/RÜTSCHE/KUHN, a.a.O., N. 1978; RHINOW/KOLLER/KISS/THURN- HERR/BRÜHL-MOSER, a.a.O., N. 671, 700, 1719) und im Zeitpunkt der vorlie- genden Eingabe die Frist zur Einreichung des ordentlichen Rechtsmittels ans Bundesgericht noch nicht verstrichen war; unter diesen Umständen nicht geprüft zu werden braucht, ob die Gesuchstellerin überhaupt zulässige Re- visionsgründe im Sinne von Art. 121 ff. BGG i.V.m. Art. 40 Abs. 1 StBOG vorbringt;</w:t>
      </w:r>
    </w:p>
    <w:p>
      <w:r>
        <w:t>- bei diesem Ausgang des Verfahrens die Gerichtskosten der Gesuchstellerin aufzuerlegen sind (Art. 63 Abs. 1 VwVG);</w:t>
      </w:r>
    </w:p>
    <w:p>
      <w:r>
        <w:t>- die Gerichtsgebühr auf Fr. 500.– festzusetzen ist (Art. 63 Abs. 5 VwVG i.V.m. Art. 73 StBOG sowie Art. 5 und Art. 8 Abs. 3 lit. b des Reglements des Bun- desstrafgerichts vom 31. August 2010 über die Kosten, Gebühren und Ent- schädigungen in Bundesstrafverfahren [BStKR; SR 173.713.162]);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