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RR.2018.48 vom 27. Februar 2018</w:t>
      </w:r>
    </w:p>
    <w:p>
      <w:r>
        <w:t>Bundesstrafgericht, 2018-02-27, DE</w:t>
      </w:r>
    </w:p>
    <w:p>
      <w:r>
        <w:rPr>
          <w:b/>
        </w:rPr>
        <w:t xml:space="preserve">Quelle: </w:t>
      </w:r>
      <w:r>
        <w:t>https://mcp.opencaselaw.ch/entscheid/bstger_RR.2018.48</w:t>
      </w:r>
    </w:p>
    <w:p>
      <w:r>
        <w:t>FR: TPF RR.2018.48 du 27 février 2018</w:t>
      </w:r>
    </w:p>
    <w:p>
      <w:r>
        <w:t>IT: TPF RR.2018.48 del 27 febbraio 2018</w:t>
      </w:r>
    </w:p>
    <w:p>
      <w:pPr>
        <w:pStyle w:val="Heading2"/>
      </w:pPr>
      <w:r>
        <w:t>Regeste</w:t>
      </w:r>
    </w:p>
    <w:p>
      <w:r>
        <w:t>Internationale Rechtshilfe in Strafsachen an Österreich.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November 2017 rechtshilfeweise einvernommen wurde;</w:t>
      </w:r>
    </w:p>
    <w:p>
      <w:r>
        <w:t>- die Staatsanwaltschaft mit Schlussverfügung vom 8. Januar 2018 die rechts- hilfeweise Herausgabe des Protokolls der Einvernahme von A. an die ersu- chende Behörde anordnete (act. 1.1);</w:t>
      </w:r>
    </w:p>
    <w:p>
      <w:r>
        <w:t>- dagegen A. durch eine in Österreich domizilierte Anwaltskanzlei Beschwerde bei der Beschwerdekammer des Bundesstrafgerichts erheben und diverse Anträge stellen lässt (act. 1);</w:t>
      </w:r>
    </w:p>
    <w:p>
      <w:r>
        <w:t>- mit Eingabe vom 22. Februar 2018 der Beschwerdeführer durch die vorge- nannte Anwaltskanzlei seine Beschwerde zurückziehen liess (act. 4);</w:t>
      </w:r>
    </w:p>
    <w:p>
      <w:r>
        <w:t>- das Beschwerdeverfahren daher zufolge Rückzugs der Beschwerde als er- ledigt abzuschreiben ist;</w:t>
      </w:r>
    </w:p>
    <w:p>
      <w:r>
        <w:t>- der Beschwerdeführer, der seine Beschwerde zurückzieht, grundsätzlich als unterliegende Partei zu gelten und folglich gemäss Art. 63 Abs. 1 VwVG i.V.m. Art. 39 Abs. 2 lit. b und Art. 37 Abs. 2 lit. a StBOG die Gerichtskosten zu tragen hat (Entscheid des Bundesstrafgerichts RR.2015.269 vom 25. No- vember 2015);</w:t>
      </w:r>
    </w:p>
    <w:p>
      <w:r>
        <w:t>- die Gerichtsgebühr vorliegend auf Fr. 500.-- anzusetzen ist (vgl. Art. 8 Abs. 3 des Reglements des Bundesstrafgerichts vom 31. August 2010 über die Kosten, Gebühren und Entschädigungen in Bundesstrafverfahren; SR 173.713.162);</w:t>
      </w:r>
    </w:p>
    <w:p>
      <w:r>
        <w:t>- gemäss Art. 80m Abs. 1 lit. a IRSG dieser Entscheid dem in der Schweiz wohnhaften Beschwerdeführer und nicht dem im Ausland domizilierten Ver- treter zuzustellen ist.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