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RR.2018.39 vom 18. Juli 2018</w:t>
      </w:r>
    </w:p>
    <w:p>
      <w:r>
        <w:t>Bundesstrafgericht, 2018-07-18, FR</w:t>
      </w:r>
    </w:p>
    <w:p>
      <w:r>
        <w:rPr>
          <w:b/>
        </w:rPr>
        <w:t xml:space="preserve">Quelle: </w:t>
      </w:r>
      <w:r>
        <w:t>https://mcp.opencaselaw.ch/entscheid/bstger_RR.2018.39</w:t>
      </w:r>
    </w:p>
    <w:p>
      <w:r>
        <w:t>FR: TPF RR.2018.39 du 18 juillet 2018</w:t>
      </w:r>
    </w:p>
    <w:p>
      <w:r>
        <w:t>IT: TPF RR.2018.39 del 18 luglio 2018</w:t>
      </w:r>
    </w:p>
    <w:p>
      <w:pPr>
        <w:pStyle w:val="Heading2"/>
      </w:pPr>
      <w:r>
        <w:t>Regeste</w:t>
      </w:r>
    </w:p>
    <w:p>
      <w:r>
        <w:t>Entraide judiciaire internationale en matière pénale à l'Algérie. Remise de moyens de preuve (art. 74 EIMP)</w:t>
      </w:r>
    </w:p>
    <w:p>
      <w:pPr>
        <w:pStyle w:val="Heading2"/>
      </w:pPr>
      <w:r>
        <w:t>Erwägungen</w:t>
      </w:r>
    </w:p>
    <w:p>
      <w:r>
        <w:rPr>
          <w:b/>
        </w:rPr>
        <w:t>E. 1.1</w:t>
      </w:r>
    </w:p>
    <w:p>
      <w:r>
        <w:t>L’entraide judiciaire pénale entre l’Algérie et la Confédération suisse est régie par l’Accord d’entraide judiciaire en matière pénale liant ces deux Etats (ci-après: Accord d’entraide) conclu le 3 juin 2006 et entré en vigueur par échange de notes le 16 décembre 2007 (RS 0.351.912.7). Aux termes de l’art. 1 de l’Accord d’entraide, le « Gouvernement de la Confédération suisse et le Gouvernement de la République algérienne démocratique et populaire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l’Etat requérant ». L’EIMP et son ordonnance d’exécution (OEIMP; RS 351.11) s’appliquent toutefois aux questions non réglées, explicitement ou implicitement, par l’accord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rendues par l’autorité cantonale ou fédérale d’exécution et, conjointement,</w:t>
      </w:r>
    </w:p>
    <w:p>
      <w:r>
        <w:t>- 4 -</w:t>
      </w:r>
    </w:p>
    <w:p>
      <w:r>
        <w:t>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(Benoît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(cf. arrêts du Tribunal pénal fédéral RR.2008.190-207 du 26 février 2009 consid. 1; RR.2008.216 + RR.2008.225-230 du 20 novembre 2008 consid. 1.2; MOSER/BEUSCH/KNEUBÜHLER, Prozessieren vor dem Bundesverwaltungs- gericht, 2e éd. 2013, §3.17, p. 144 s.).</w:t>
      </w:r>
    </w:p>
    <w:p>
      <w:r>
        <w:rPr>
          <w:b/>
        </w:rPr>
        <w:t>E. 1.3.2</w:t>
      </w:r>
    </w:p>
    <w:p>
      <w:r>
        <w:t>En l’espèce, il se justifie de joindre les causes enregistrées sous numéros RR.2018.39, RR.2018.40, RR.2018.41, RR.2018.42 et RR.2018.43, dès lors que celles-ci concernent le même complexe de faits, que les parties recourantes, représentées par le même avocat, invoquent des arguments, respectivement prennent des conclusions quasiment identiques, sans faire valoir d’intérêts contradictoires qui commanderaient un prononcé séparé.</w:t>
      </w:r>
    </w:p>
    <w:p>
      <w:r>
        <w:rPr>
          <w:b/>
        </w:rPr>
        <w:t>E. 1.4</w:t>
      </w:r>
    </w:p>
    <w:p>
      <w:r>
        <w:t>Formés dans les trente jours à compter de la notification des décisions attaquées, les recours ont été déposés en temps utile (art. 80k EIMP).</w:t>
      </w:r>
    </w:p>
    <w:p>
      <w:r>
        <w:rPr>
          <w:b/>
        </w:rPr>
        <w:t>E. 1.5</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t>En tant que titulaires des relations bancaires visées par les décisions querellées, les recourants ont qualité pour attaquer celles-ci.</w:t>
      </w:r>
    </w:p>
    <w:p>
      <w:r>
        <w:rPr>
          <w:b/>
        </w:rPr>
        <w:t>E. 1.6</w:t>
      </w:r>
    </w:p>
    <w:p>
      <w:r>
        <w:t>Les recours sont recevables, il y a donc lieu d’entrer en matière.</w:t>
      </w:r>
    </w:p>
    <w:p>
      <w:r>
        <w:t>- 5 -</w:t>
      </w:r>
    </w:p>
    <w:p>
      <w:r>
        <w:rPr>
          <w:b/>
        </w:rPr>
        <w:t>E. 2</w:t>
      </w:r>
    </w:p>
    <w:p>
      <w:r>
        <w:t>Dans un premier grief, les recourants indiquent que la demande d’entraide serait lacunaire. Elle serait rédigée de manière si confuse qu’il ne serait pas possible de distinguer quels faits, imputés à quelle(s) personne(s), seraient constitutifs de quelle infraction. Il ne serait dès lors pas possible de vérifier si les conditions de la double incrimination sont réalisées (act. 1, p. 15 ss).</w:t>
      </w:r>
    </w:p>
    <w:p>
      <w:r>
        <w:rPr>
          <w:b/>
        </w:rPr>
        <w:t>E. 2.1.1</w:t>
      </w:r>
    </w:p>
    <w:p>
      <w:r>
        <w:t>Aux termes de l’art. 5 de l’Accord d’entraide, la demande d’entraide doit notamment indiquer l’autorité dont elle émane (ch. 2 let. a), son objet et son motif (ch. 2 let. b), la qualification juridique des faits (ch. 2 let. c), ainsi qu’un bref exposé des faits essentiels permettant de déterminer la nature juridique de l’infraction (ch. 3 let. a). Selon les exigences prévues à l’art. 28 al. 2 let. c et 28 al. 3 let. a EIMP, un exposé sommaire des faits ainsi que leur qualification juridique doivent être fournis par l’Etat requérant à l’appui de sa demande d’entraide. Selon la jurisprudence, on ne saurait toutefois exiger de ce dernier un exposé complet et exempt de toute lacune, car la procédure d’entraide a précisément pour but d’apporter aux autorités de l’Etat requérant des renseignements au sujet des points demeurés obscurs (ATF 117 Ib 64 consid. 5c; arrêt du Tribunal pénal fédéral RR.2008.317-318 du 17 juin 2009 consid. 3.1). Les indications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requérante et requise, qu’il ne constitue pas un délit politique ou fiscal, et que le principe de la proportionnalité est respecté (ATF 118 Ib 111 consid. 5c; arrêt du Tribunal pénal fédéral RR.2008.16 du 23 juillet 2008 consid. 2.1).</w:t>
      </w:r>
    </w:p>
    <w:p>
      <w:r>
        <w:rPr>
          <w:b/>
        </w:rPr>
        <w:t>E. 2.1.2</w:t>
      </w:r>
    </w:p>
    <w:p>
      <w:r>
        <w:t>La remise de documents bancaires est une mesure de contrainte au sens de l’art. 63 al. 2 let. c EIMP, qui ne peut être ordonnée, selon l’art. 64 al. 1 EIMP, que si l’état de fait exposé dans la demande correspond prima facie aux éléments objectifs d’une infraction réprimée par le droit suisse.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w:t>
      </w:r>
    </w:p>
    <w:p>
      <w:r>
        <w:t>- 6 -</w:t>
      </w:r>
    </w:p>
    <w:p>
      <w:r>
        <w:t>établies (ATF 126 II 495 consid. 5e; arrêt du Tribunal pénal fédéral RR.2010.11 du 22 mars 2010 consid. 2.3 et la jurisprudence citée).</w:t>
      </w:r>
    </w:p>
    <w:p>
      <w:r>
        <w:rPr>
          <w:b/>
        </w:rPr>
        <w:t>E. 2.1.3</w:t>
      </w:r>
    </w:p>
    <w:p>
      <w:r>
        <w:t>En l’espèce, la commission rogatoire algérienne indique que l’enquête nationale est dirigée à l’encontre de C., F. et G., des chefs d’organisation d’association de malfaiteurs et de blanchiment de capitaux dans le cadre d’une organisation criminelle (art. 176, 177, 389 bis 1 et 389 bis 2 du Code pénal algérien [act. 1.3, p. 1]). Selon l’enquête algérienne, la société J. Sàrl aurait perçu des subventions étatiques pour la production du lait en sachet (lait en poudre). Selon le contrat de partenariat conclu entre l’office K. et J. Sàrl, l’octroi des subventions était soumis à la condition que les bénéficiaires utilisent les subventions exclusivement dans la production du lait en sachet et le vendent au prix fixé par l’Etat (act. 1.9). J. Sàrl aurait utilisé de fausses déclarations et des factures fictives afin de bénéficier de parts dépassant largement sa capacité de production, et détourner une partie de la marchandise subventionnée afin de la revendre au marché parallèle ou dans la production de dérivés de lait. C., gérant de J. Sàrl, aurait transféré des montants importants à l’étranger et procédé à la création de sociétés fictives par le biais de faux papiers (act. 1.3, p. 2). Certaines sommes auraient été transférées sur des comptes bancaires auprès de la banque I. SA à Genève et de la banque H. Ltd à Genève (act. 1.3, p. 3). Pour les besoins de l’enquête étrangère, l’autorité requérante sollicite, entre autres, la production de la documentation relative aux comptes bancaires ouverts notamment aux noms de C. et la société J. Sàrl (act. 1.3, p. 4-5).</w:t>
      </w:r>
    </w:p>
    <w:p>
      <w:r>
        <w:rPr>
          <w:b/>
        </w:rPr>
        <w:t>E. 2.1.4</w:t>
      </w:r>
    </w:p>
    <w:p>
      <w:r>
        <w:t>La commission rogatoire algérienne contient ainsi les motifs pour lesquels la demande est présentée, les causes de l’enquête nationale ainsi que les personnes faisant l’objet de celle-ci, et la qualification juridique des faits selon le droit algérien (act. 1.3). Les faits essentiels sont également exposés. La demande telle que présentée a permis au MP-GE d’apprécier la recevabilité de la requête, et d’estimer que les faits incriminés, transposés en droit suisse, pouvaient être qualifiés notamment d’escroquerie (art. 146 CP), faux dans les titres (art. 251 CP) et blanchiment d’argent (art. 305bis CP) et dès lors de conclure que la double incrimination était acquise (act. 1.1). Selon les recourants, il ne serait toutefois pas possible de vérifier que les conditions de la double incrimination sont remplies.</w:t>
      </w:r>
    </w:p>
    <w:p>
      <w:r>
        <w:rPr>
          <w:b/>
        </w:rPr>
        <w:t>E. 2.2.1</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w:t>
      </w:r>
    </w:p>
    <w:p>
      <w:r>
        <w:t>- 7 -</w:t>
      </w:r>
    </w:p>
    <w:p>
      <w:r>
        <w:t>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cf. ég. ZIMMERMANN, La coopération judiciaire internationale en matière pénale, 4e éd. 2014, n°581, p. 584 s.).</w:t>
      </w:r>
    </w:p>
    <w:p>
      <w:r>
        <w:rPr>
          <w:b/>
        </w:rPr>
        <w:t>E. 2.2.2</w:t>
      </w:r>
    </w:p>
    <w:p>
      <w:r>
        <w:t>L’escroquerie se définit, en droit suisse, comme le fait de celui qui, dans le dessein de se procurer ou de procurer à un tiers un enrichissement illégitime,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L’astuce au sens de cette disposition est réalisée non seulement lorsque l’auteur utilise un édifice de mensonges, des manœuvres frauduleuses ou une mise en scène, mais aussi lorsqu’il fait de fausses déclarations dont la vérification ne serait possible qu’au prix d’un effort particulier ou ne pourrait raisonnablement être exigée, ou encore lorsque</w:t>
      </w:r>
    </w:p>
    <w:p>
      <w:r>
        <w:t>- 8 -</w:t>
      </w:r>
    </w:p>
    <w:p>
      <w:r>
        <w:t>l’auteur dissuade la victime de les contrôler, voire prévoit, d’après les rapports de confiance particuliers qui les lient à la victime, que celle-ci ne les vérifiera pas (ATF 128 IV 18 consid. 3a; 126 IV 165 consid. 2a; 122 IV 146 consid. 3a et les arrêts cités). Il y a notamment manœuvre frauduleuse lorsque l’auteur fait usage de titres falsifiés ou obtenus sans droit ou de documents mensongers (ATF 128 IV 18 consid. 3a). En tout état de cause, il convient toujours de se demander si la dupe, en faisant preuve d’un minimum d’attention, pouvait éviter facilement d’être trompée (ATF 122 IV 205 consid. 3d). L’astuce n’est pas réalisée si la dupe pouvait se protéger avec un minimum d’attention ou éviter l’erreur avec le minimum d’attention que l’on pouvait attendre d’elle. Il n’est pas nécessaire, pour qu’il y ait escroquerie, que la dupe ait fait preuve de la plus grande diligence et qu’elle ait recours à toutes les mesures de prudence possibles; la question n’est donc pas de savoir si elle a fait tout ce qu’elle pouvait pour éviter d’être trompée (arrêt du Tribunal fédéral 6S.740/1997 du 18 février 1998, reproduit in SJ 1998 p. 457 consid. 2; ATF 122 IV 246 consid. 3a). L’astuce n’est exclue que lorsque la dupe est coresponsable du dommage en ce qu’elle n’a pas observé les mesures de prudence élémentaires qui s’imposaient (ATF 126 IV 165 consid. 2a; ATF 119 IV 28 consid. 3.3).</w:t>
      </w:r>
    </w:p>
    <w:p>
      <w:r>
        <w:rPr>
          <w:b/>
        </w:rPr>
        <w:t>E. 2.2.3</w:t>
      </w:r>
    </w:p>
    <w:p>
      <w:r>
        <w:t>En l’espèce, la société J. Sàrl s’était engagée envers l’Etat à n’utiliser les subventions octroyées par l’Etat requérant que dans le but de produire du lait en sachet et le vendre au prix fixé par l’Etat. Or, selon l’enquête étrangère, J. Sàrl aurait revendu la poudre de lait en la surfacturant largement à des laiteries algériennes, à un prix pouvant atteindre le double du prix du marché. Pour ce faire, la société aurait utilisé de fausses déclarations ainsi que des factures fictives. Force est dès lors d’admettre, sur la base de ces éléments, que J. Sàrl a astucieusement trompé l’Etat algérien, lequel s’est fait une représentation inexacte de la réalité sur la base d’éléments erronés, et l’a trompé en utilisant les subventions obtenues à d’autres fins que ce à quoi elle s’était engagée. Au vu de ce qui précède, le MP-GE a, à juste titre, estimé que les faits incriminés pouvaient être qualifiés notamment d’escroquerie selon le droit suisse (art. 146 CP), et que partant la condition de la double incrimination était réalisée. Il n’est au demeurant pas nécessaire que la condition de la double incrimination soit réalisée pour chacun des chefs à raison desquels les prévenus sont poursuivis dans l’Etat requérant (cf. supra, consid. 2.2.1), même s’il semble, prima facie, que les infractions de faux dans les titres (art. 251 CP) et blanchiment d’argent (art. 305bis CP) sont également réalisées. Il s’ensuit que le premier grief des recourants, selon lequel la demande d’entraide serait lacunaire et qu’il ne serait pas possible de vérifier les conditions de la double incrimination, est mal fondé et doit être rejeté.</w:t>
      </w:r>
    </w:p>
    <w:p>
      <w:r>
        <w:t>- 9 -</w:t>
      </w:r>
    </w:p>
    <w:p>
      <w:r>
        <w:rPr>
          <w:b/>
        </w:rPr>
        <w:t>E. 3</w:t>
      </w:r>
    </w:p>
    <w:p>
      <w:r>
        <w:t>Dans un deuxième grief, les recourants invoquent une violation du principe de la proportionnalité. Certains recourants ne seraient pas visés par la demande d’entraide de sorte qu’il n’existerait pas de lien entre leurs comptes bancaires et l’activité alléguée comme criminelle (act. 1, p. 21-22). De plus, la demande d’entraide constituerait une recherche indéterminée de moyens de preuve (« fishing expedition »; act. 1, p. 22-26). Enfin, les documents bancaires n’auraient pas été triés par l’autorité précédente (act. 1, p. 26 ss).</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w:t>
      </w:r>
    </w:p>
    <w:p>
      <w:r>
        <w:t>- 10 -</w:t>
      </w:r>
    </w:p>
    <w:p>
      <w:r>
        <w:t>du Tribunal pénal fédéral RR.2010.173 du 13 octobre 2010 consid. 4.2.4/a et RR.2009.320 du 2 février 2010 consid. 4.1; ZIMMERMANN, op. cit., n°723, p. 748 s.).</w:t>
      </w:r>
    </w:p>
    <w:p>
      <w:r>
        <w:rPr>
          <w:b/>
        </w:rPr>
        <w:t>E. 3.2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3.3.1</w:t>
      </w:r>
    </w:p>
    <w:p>
      <w:r>
        <w:t>Les recourants A., B., E. et D. Sàrl n’étant pas désignés dans la demande d’entraide des autorités algériennes, la transmission des documents les concernant constituerait, selon eux, une violation du principe de la proportionnalité (act. 1, p. 21).</w:t>
      </w:r>
    </w:p>
    <w:p>
      <w:r>
        <w:rPr>
          <w:b/>
        </w:rPr>
        <w:t>E. 3.3.2</w:t>
      </w:r>
    </w:p>
    <w:p>
      <w:r>
        <w:t>B. est l’administrateur de la société J. Sàrl (act. 1, p. 5), laquelle fait l’objet de l’enquête algérienne et agit dès lors comme représentant de celle-ci (cf. notamment act. 1.7, 1.9 et 1.11). Il a de plus été visé par une plainte du 29 septembre 2010 de l’administration des douanes algériennes, laquelle était dirigée tant contre J. Sàrl que contre lui-même. Même s’il n’est dès lors pas nommément mentionné dans la demande d’entraide, il ne fait aucun doute que les documents le concernant présentent un intérêt pour l’autorité requérante, de par sa fonction au sein de l’une des sociétés visées par l’enquête étrangère. A. est quant à lui le beau-frère de B. et l’oncle de C. (act. 1, p. 6). B. disposait en outre d’une procuration avec signature individuelle sur le compte de A. Certains montants ont été retirés par B., et c’est lui qui a procédé à la clôture dudit compte, et transféré le solde sur son compte personnel auprès de la banque H. Ltd (dossier MP-GE, classeur vert n° 1, onglet 6). E. et D. Sàrl ont quant à eux reçu de l’argent des personnes sous enquête en Algrérie, ou leur en ont transféré. E. a notamment transféré EUR 6'976.24 en faveur de B. (dossier MP-GE, classeur noir n° 2, onglet 3).</w:t>
      </w:r>
    </w:p>
    <w:p>
      <w:r>
        <w:t>- 11 -</w:t>
      </w:r>
    </w:p>
    <w:p>
      <w:r>
        <w:t>La société D. Sàrl a notamment transféré EUR 422'000.00 à L. Ltd, société expressément mentionnée dans la demande d’entraide et faisant l’objet de l’enquête algérienne, EUR 160'000.00 et 25'000.00 à B., puis reçu à son tour EUR 160'000.00 de B. par le biais de deux virements (dossier MP-GE, classeur noir n° 2, onglet 1). Contrairement aux affirmations des recourants, il y a dès lors des liens entre les comptes et l’activité alléguée comme criminelle. De plus, selon la jurisprudence du Tribunal fédéral rappelée plus haut (cf. consid. 3.2), l’octroi de l’entraide n’implique pas que la personne soumise à une mesure de contrainte dans l’Etat requis soit elle-même accusée dans l’Etat requérant, les mesures de contrainte s’appliquant à toutes les personnes qui détiendraient des informations, des pièces, des objets ou des valeurs ayant un lien objectif avec les faits sous enquête dans l’Etat requérant. Par conséquent, même si ces personnes ne sont pas expressément désignées dans la demande d’entraide, elles présentent un lien suffisamment étroit avec l’enquête algérienne, justifiant la transmission des informations les concernant. Il s’ensuit que sous cet aspect, le grief est mal fondé.</w:t>
      </w:r>
    </w:p>
    <w:p>
      <w:r>
        <w:rPr>
          <w:b/>
        </w:rPr>
        <w:t>E. 3.4.1</w:t>
      </w:r>
    </w:p>
    <w:p>
      <w:r>
        <w:t>Les décisions de clôture consacreraient ensuite une recherche indéterminée de moyens de preuve (« fishing expedition »), ce qui violerait également le principe de la proportionnalité (act. 1, p. 22 ss.).</w:t>
      </w:r>
    </w:p>
    <w:p>
      <w:r>
        <w:rPr>
          <w:b/>
        </w:rPr>
        <w:t>E. 3.4.2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w:t>
      </w:r>
    </w:p>
    <w:p>
      <w:r>
        <w:t>- 12 -</w:t>
      </w:r>
    </w:p>
    <w:p>
      <w:r>
        <w:t>d’un intérêt à pouvoir le vérifier elle-même, sur le vu d’une documentation complète (ATF 118 Ib 547 consid.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rPr>
          <w:b/>
        </w:rPr>
        <w:t>E. 3.4.3</w:t>
      </w:r>
    </w:p>
    <w:p>
      <w:r>
        <w:t>Le MP-GE a ordonné la transmission de la documentation d’ouverture et des relevés de comptes des relations bancaires dont les recourants sont titulaires (act. 1.1, p. 3). Comme exposé précédemment (cf. consid. 3.3.2), tous les recourants ont un lien avec l’enquête algérienne, soit du fait qu’ils sont directement mentionnés dans la demande, soit parce qu’ils ont effectué des transferts en faveur de personnes ou sociétés faisant l’objet de la commission rogatoire, soit parce qu’ils ont reçu des virements de celles-ci. Dès lors et conformément au principe de l’utilité potentielle rappelé plus haut (cf. consid. 3.1), l’ensemble de ces documents est pertinent pour l’autorité algérienne et est propre à servir l’enquête étrangère, de sorte que leur transfert est justifié. Sous cet aspect également, le grief tiré de la violation du principe de la proportionnalité doit être rejeté.</w:t>
      </w:r>
    </w:p>
    <w:p>
      <w:r>
        <w:rPr>
          <w:b/>
        </w:rPr>
        <w:t>E. 3.5.1</w:t>
      </w:r>
    </w:p>
    <w:p>
      <w:r>
        <w:t>Dans un troisième volet, les recourants reprochent à l’autorité d’exécution l’absence de tout tri des documents obtenus des établissements bancaires et proposent des critères de tri. Certains documents devraient ainsi être intégralement retirés, leur contenu ne présentant pas d’intérêt pour l’enquête, d’autres devraient être caviardés, certaines opérations étant sans rapport avec l’enquête, ou encore quelques opérations seraient en dehors de la période litigieuse (act. 1, p. 26 ss).</w:t>
      </w:r>
    </w:p>
    <w:p>
      <w:r>
        <w:rPr>
          <w:b/>
        </w:rPr>
        <w:t>E. 3.5.2</w:t>
      </w:r>
    </w:p>
    <w:p>
      <w:r>
        <w:t>S’agissant du tri des pièces, il est de jurisprudence constante que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w:t>
      </w:r>
    </w:p>
    <w:p>
      <w:r>
        <w:rPr>
          <w:b/>
        </w:rPr>
        <w:t>E. 3.5.3</w:t>
      </w:r>
    </w:p>
    <w:p>
      <w:r>
        <w:t>Dans ses décisions de clôture, le MP-GE estime que la documentation qui</w:t>
      </w:r>
    </w:p>
    <w:p>
      <w:r>
        <w:t>- 13 -</w:t>
      </w:r>
    </w:p>
    <w:p>
      <w:r>
        <w:t>sera transmise à l’autorité requérante lui permettra de poursuivre ses investigations, sans que l’autorité suisse doive en apprécier l’utilité procédurale. Les arguments détaillés par les titulaires des relations en cause seraient en outre à décharge et ne pourraient par conséquent être examinés que par le juge du fond. Enfin, il ne pourrait être donné suite aux exigences de caviardage des recourants au motif que cela impliquerait un travail totalement démesuré et rendrait les relevés pratiquement illisibles.</w:t>
      </w:r>
    </w:p>
    <w:p>
      <w:r>
        <w:rPr>
          <w:b/>
        </w:rPr>
        <w:t>E. 3.5.4</w:t>
      </w:r>
    </w:p>
    <w:p>
      <w:r>
        <w:t>Au vu de ce qui précède, force est de conclure que le MP-GE a bien procédé au tri des pièces, afin d’apprécier lesquelles pouvaient présenter un intérêt pour l’enquête étrangère. Ce n’est de plus pas parce que l’autorité d’exécution transmet l’intégralité des pièces sollicitées et obtenues par les établissements bancaires que l’on peut en déduire l’absence de tout tri de sa part. En effet, dans la mesure où les principes exposés ci-dessus sont respectés (supra, consid. 3.1 à 3.4) et que l’ensemble des pièces présente un intérêt pour l’enquête étrangère, il n’est pas contraire au principe de la proportionnalité de remettre les documents tels que transmis par les établissements bancaires. Parmi les documents que les recourants estiment sans intérêt et devant partant être retirés, figurent notamment des articles de journaux et les formulaires « Know your customer ». Or les articles de journaux sont précisément en lien avec l’enquête étrangère. On y lit notamment que « le fabricant de lait en sachet, B., 73 ans, dispose de deux compagnies offshore : L. Ltd et M. Ltd. Il en est le bénéficiaire économique en association avec son fils C., 45 ans (…) L. Ltd a aussi servi d’intermédiaire pour d’importantes transactions. B. et C. lui faisaient acheter de la poudre de lait au prix du marché, en Ukraine notamment, avant de la revendre en Algérie… à eux-mêmes, à un prix bien supérieur. Le tout en évitant que cela se sache » (dosser MP-GE, classeur vert n° 1, onglet H. Ltd – D. Sàrl). Quant aux documents d’ouverture ou « know your customer », l’autorité requérante a intérêt à pouvoir en prendre connaissance, afin notamment de connaître l’identité de l’ayant droit économique et des signataires autorisés. Concernant les opérations intervenues en dehors de la période litigieuse mentionnée dans la demande, il se justifie également de les transmettre, au vu de l’intérêt dont dispose l’autorité requérante à vérifier que les agissements qu’elle connaît déjà n’ont pas été précédés ou suivis d’actes du même genre (cf. supra, consid. 3.4.2).</w:t>
      </w:r>
    </w:p>
    <w:p>
      <w:r>
        <w:rPr>
          <w:b/>
        </w:rPr>
        <w:t>E. 3.5.5</w:t>
      </w:r>
    </w:p>
    <w:p>
      <w:r>
        <w:t>Sur le vu des considérations qui précèdent, force est de constater que l’autorité d’exécution n’a pas violé le principe de la proportionnalité en procédant à une interprétation large de la demande d’entraide des autorités algériennes, étant rappelé que pareil mode de procéder permet aussi d’éviter d’éventuelles demandes d’entraide complémentaires. Il s’ensuit que le grief tiré de la violation du principe de la proportionnalité n’est pas fondé et doit</w:t>
      </w:r>
    </w:p>
    <w:p>
      <w:r>
        <w:t>- 14 -</w:t>
      </w:r>
    </w:p>
    <w:p>
      <w:r>
        <w:t>être rejeté.</w:t>
      </w:r>
    </w:p>
    <w:p>
      <w:r>
        <w:rPr>
          <w:b/>
        </w:rPr>
        <w:t>E. 4</w:t>
      </w:r>
    </w:p>
    <w:p>
      <w:r>
        <w:t>Les considérants qui précèdent conduisent au rejet du recours.</w:t>
      </w:r>
    </w:p>
    <w:p>
      <w:r>
        <w:rPr>
          <w:b/>
        </w:rPr>
        <w:t>E. 5</w:t>
      </w:r>
    </w:p>
    <w:p>
      <w:r>
        <w:t>Compte tenu de l’issue du litige, les recourants, qui succombent, supporteront solidairement les frais de la procédure sans pouvoir prétendre à des dépens (art. 63 al. 1 et 64 al. 1 de la PA, applicable par renvoi de l’art. 39 al. 2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15'000.--, montant couvert par les avances de frais déjà versées par les recourants. La caisse du Tribunal pénal fédéral restituera au conseil des recourants le solde par CHF 10'000.--.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