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RR.2018.332 vom 31. Januar 2019</w:t>
      </w:r>
    </w:p>
    <w:p>
      <w:r>
        <w:t>Bundesstrafgericht, 2019-01-31, IT</w:t>
      </w:r>
    </w:p>
    <w:p>
      <w:r>
        <w:rPr>
          <w:b/>
        </w:rPr>
        <w:t xml:space="preserve">Quelle: </w:t>
      </w:r>
      <w:r>
        <w:t>https://mcp.opencaselaw.ch/entscheid/bstger_RR.2018.332</w:t>
      </w:r>
    </w:p>
    <w:p>
      <w:r>
        <w:t>FR: TPF RR.2018.332 du 31 janvier 2019</w:t>
      </w:r>
    </w:p>
    <w:p>
      <w:r>
        <w:t>IT: TPF RR.2018.332 del 31 gennaio 2019</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 la legge sull'assistenza in materia penale, unitamente alla relativa ordinanza (OAIMP; RS 351.11; v. art. 1 cpv. 1 AIMP, art. I n. 2 Accordo italo-svizzero; DTF 142 IV 250 consid. 3; 140 IV 123 consid. 2; 137 IV</w:t>
      </w:r>
    </w:p>
    <w:p>
      <w:r>
        <w:t>- 4 -</w:t>
      </w:r>
    </w:p>
    <w:p>
      <w:r>
        <w:t>33 consid. 2.2.2; 136 IV 82 consid. 3.1). Il principio di favore vale anche nell'ap- 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è ricevibile sotto il profilo degli art. 25 cpv. 1, 80e cpv. 1 e 80k AIMP. Tuttavia, la ricevibilità del gravame presuppone anche che esso provenga da un soggetto legittimato a ricorrere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 mente e direttamente toccato da una misura di assistenza giudiziaria interna- zionale, il ricorrente deve avere un legame sufficientemente stretto con la deci- sione litigiosa (DTF 123 II 161 consid. 1 d/aa). Più concretamente, nel caso di una richiesta d’informazioni su un conto bancario è considerato personalmente e direttamente toccato il titolare del conto (v. art. 9a lett. a OAIMP; DTF 137 IV 134 consid. 5 e 118 Ib 547 consid. 1d), così come nelle perquisizioni domiciliari questa qualità spetta al proprietario o al locatario (v. art. 9a lett. b OAIMP). In via giurisprudenziale è stato altresì precisato che la legittimazione a ricorrere compete alla persona direttamente sottoposta a una misura coercitiva (perqui- sizione, sequestro o interrogatorio; DTF 130 II 162 consid. 1.1; 128 II 211 con- sid. 2.3; 127 II 198 consid. 2d; 126 II 258 consid. 2d; 124 II 180 consid. 1b; TPF 2007 79 consid. 1.6 pag. 82), mentre gli interessati toccati solo in maniera indi- retta, come ad esempio il mero avente diritto economico di un conto bancario, non possono impugnare tali provvedimenti (DTF 137 IV 134 consid. 5.2.1 e 122 II 130 consid. 2b e rinvii). Per lo stesso motivo, nel caso di documenti in pos- sesso di terzi, soltanto questi ultimi in quanto loro possessori possono conte- stare il sequestro degli stessi, anche se i documenti in questione concernono un’altra persona contro la quale è pendente un procedimento penale estero (DTF 123 II 161 consid. 1d; 116 Ib 106 consid. 2a; TPF 2007 79 consid. 1.6). Secondo la giurisprudenza, questo vale parimenti nel caso di documentazione bancaria detenuta da un avvocato o da una fiduciaria in ragione di un mandato</w:t>
      </w:r>
    </w:p>
    <w:p>
      <w:r>
        <w:t>- 5 -</w:t>
      </w:r>
    </w:p>
    <w:p>
      <w:r>
        <w:t>(sentenza del Tribunale federale 1A.293/2004 del 18 marzo 2005 consid. 2.3; sentenza del Tribunale penale federale RR.2007.101 del 12 luglio 2007 consid. 2.1).</w:t>
      </w:r>
    </w:p>
    <w:p>
      <w:r>
        <w:t>In concreto, nella misura in cui la documentazione sequestrata è il frutto della perquisizione del 10 aprile 2018 avvenuta presso gli uffici di D. SA, la legittima- zione ricorsuale della ricorrente va negata. Essa è per contro data per quanto riguarda la documentazione relativa alla contabilità 2015 della società ricor- rente, consegnata a mano l'11 aprile 2018 all'autorità d'esecuzione dal suo am- ministratore unico E. e non direttamente proveniente dalla perquisizione del 10 aprile 2018.</w:t>
      </w:r>
    </w:p>
    <w:p>
      <w:r>
        <w:t>In sede di replica, la ricorrente ha cercato di sostanziare la propria legittima- zione ricorsuale affermando di essere proprietaria della documentazione se- questrata. Tale motivazione non regge, dato che l'art. 9a OAIMP prevede che in caso di perquisizione domiciliare solo il proprietario o il locatario dei locali risulta personalmente e direttamente toccato (in questo ambito v. DTF 137 IV 134 consid. 6.2; sentenze del Tribunale penale federale RR.2016.277 del 7 feb- braio 2017 consid. 1.5.2; RR.2015.289-290 del 13 aprile 2016 consid. 2.2.1). Essa ha inoltre affermato di aver stipulato un contratto per l'utilizzo e la condi- visione degli spazi di D. SA, aggiungendo che la documentazione sequestrata non sarebbe mai stata in possesso della stessa ma solo di A., tramite E., suo precedente amministratore unico. Ora, premesso che agli atti non figura nessun contratto di locazione o sublocazione in favore della ricorrente, dal verbale di perquisizione e sequestro del 10 aprile 2018 risulta che tutti gli oggetti seque- strati di cui nella decisione litigiosa sono stati ritrovati negli uffici di D. SA (v. atto 20, allegato 16 pag. 3, incarto MP-TI). Da notare che pure la documentazione consegnata in un secondo tempo da E. relativa alla contabilità 2015 di A. pro- viene dall'archivio di D. SA (v. atto 20, allegato 17 pag. 4 e seg.), ma dato che non è direttamente frutto della perquisizione del 10 aprile 2018, si può eccezio- nalmente ammettere la legittimazione ricorsuale di A. in quanto detentrice di questa documentazione al momento della relativa consegna all'autorità. Per il resto, non risulta dagli atti che A. avesse spazi propri presso D. SA, ma solo la sua sede giuridica. Come ben si può desumere dalla descrizione del suo scopo indicato nell'estratto del Registro di commercio (v. act. 13.1), D. SA agiva in qualità di fiduciaria della ricorrente, gestendola e curandone gli interessi (a tal proposito v. verbale d'interrogatorio di F. del 10 aprile 2018, pag. 8, in atto 20, allegato 1, incarto MP-TI). Il fatto che E. fosse amministratore unico della ricor- rente al momento della perquisizione nulla muta alla situazione, dato che egli ha agito quale direttore di D. SA negli spazi di tale società, come testimoniato del resto dal contenuto del messaggio elettronico dell'11 aprile 2018, mediante il quale E., utilizzando il suo indirizzo e-mail "E.@D.ch", informava l'autorità</w:t>
      </w:r>
    </w:p>
    <w:p>
      <w:r>
        <w:t>- 6 -</w:t>
      </w:r>
    </w:p>
    <w:p>
      <w:r>
        <w:t>dell'esistenza di un fascicolo relativo alla contabilità 2015 di A., trovato nell'ar- chivio di D. SA, a dimostrazione che la ricorrente non aveva spazi propri (v. atto 20, allegato 17 pag. 4-5, incarto MP-TI).</w:t>
      </w:r>
    </w:p>
    <w:p>
      <w:r>
        <w:t>In definitiva, constatata l'inconsistenza delle argomentazioni presentate dalla ricorrente in questo ambito, il ricorso è dunque ricevibile nei termini esposti in precedenza.</w:t>
      </w:r>
    </w:p>
    <w:p>
      <w:r>
        <w:rPr>
          <w:b/>
        </w:rPr>
        <w:t>E. 2</w:t>
      </w:r>
    </w:p>
    <w:p>
      <w:r>
        <w:t>La ricorrente sostiene che la descrizione delle circostanze alla base del proce- dimento estero non le permetterebbe di comprendere le ragioni per le quali si è reso necessario il sequestro e la trasmissione all'autorità rogante della docu- mentazione litigiosa. La domanda estera non specificherebbe il legame tra lei e i fatti indagati in Italia.</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2.2</w:t>
      </w:r>
    </w:p>
    <w:p>
      <w:r>
        <w:t>In concreto, dal contenuto della rogatoria e dal suo complemento emerge che la Procura di Z. sta conducendo un procedimento penale a carico di svariate persone che avrebbero, tra il 2007 e il 2015, in veste di organi o di rappresen- tanti di C. S.r.l., distratto diversi attivi dal patrimonio di quest'ultima, segnata- mente l'azienda alberghiera "G." (ex H.) nonché denaro per un importo pari a EUR 6'359'406.06. Per quanto riguarda l'azienda alberghiera, B., rappresen- tante legale di C. S.r.l., società proprietaria dell'immobile "G.", dal 2007 ne avrebbe ceduto la gestione a società terze a lui riconducibili, senza far percepire alla società alcun canone di locazione, nonostante l'importo pattuito di</w:t>
      </w:r>
    </w:p>
    <w:p>
      <w:r>
        <w:t>- 7 -</w:t>
      </w:r>
    </w:p>
    <w:p>
      <w:r>
        <w:t>EUR 800'000.– annui, in quanto fittiziamente compensato con crediti inesistenti nei confronti di C. S.r.l. creati a favore delle società succedutesi nella gestione dell'azienda alberghiera. Per quanto attiene al denaro, dopo aver ottenuto l'ero- gazione di otto tranches inerenti a due contratti di mutuo stipulati con la banca I. a Z., le cui somme avrebbero dovuto essere destinate alla realizzazione del "G.", B. avrebbe distratto l'importo in questione destinandolo a fini diversi dalla realizzazione dell'albergo, contrariamente a quanto pattuito. C. S.r.l., gravata da un debito di EUR 28'768'649.20, è stata dichiarata fallita in data 29 settembre 2014. L'autorità rogante sospetta che B., insieme alla moglie J., abbia fatto fal- lire intenzionalmente e in modo fraudolento C. S.r.l., coinvolgendo varie società, tra cui K. SA di X., L. S.r.l. e M. S.r.l. Secondo gli elementi raccolti dalle autorità italiane, K. SA sarebbe riconducibile a B. e ai suoi famigliari, società che sa- rebbe stata utilizzata dagli imputati per reinvestire i proventi delle attività illecite summenzionate, e in particolare del reato di bancarotta fraudolenta. Nei fatti, ampiamente e ulteriormente descritti nella domanda d'assistenza e nel suo complemento, sarebbe coinvolta anche la ricorrente, proprietaria del marchio "N.", della cui esistenza le autorità estere sono venute a conoscenza grazie ad altri sequestri effettuati nell'ambito dell'inchiesta (v. atti 1 e 5 incarto MP-TI). Quanto precede soddisfa le esigenze normative e giurisprudenziali poste in ma- teria di esposto dei fatti e permette alla ricorrente di comprendere le ragioni per cui l'autorità rogante è interessata alla documentazione oggetto della decisione impugnata (v. consid. 2.1 supra). I documenti di cui l'autorità d'esecuzione ha ordinato la trasmissione all'estero dovranno del resto ulteriormente chiarire i fatti oggetto dell'inchiesta italiana, aiutando l'autorità estera a comprendere l'even- tuale ruolo della ricorrente nella vicenda. La censura va dunque respinta.</w:t>
      </w:r>
    </w:p>
    <w:p>
      <w:r>
        <w:rPr>
          <w:b/>
        </w:rPr>
        <w:t>E. 3</w:t>
      </w:r>
    </w:p>
    <w:p>
      <w:r>
        <w:t>Invocando la sua totale estraneità ai fatti oggetto d'indagine all'estero, l'insor- gente censura la violazione del principio della proporzionalità, affermando inol- tre che la rogatoria costituirebbe una fishing expedition.</w:t>
      </w:r>
    </w:p>
    <w:p>
      <w:r>
        <w:rPr>
          <w:b/>
        </w:rPr>
        <w:t>E. 3.1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w:t>
      </w:r>
    </w:p>
    <w:p>
      <w:r>
        <w:t>- 8 -</w:t>
      </w:r>
    </w:p>
    <w:p>
      <w:r>
        <w:t>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Tribunale penale federale RR.2016.250 del 17 febbraio 2017 consid. 2.1). In base alla giurispru- denza l'esame da parte delle autorità di esecuzione e del giudice dell’assistenza va limitato alla cosiddetta utilità potenziale, secondo cui la consegna giusta l'art. 74 AIMP è esclusa soltanto per quei mezzi di prova certamente privi di rilevanza per il procedimento penale all'estero (DTF 126 II 258 consid. 9c; 122 II 367 consid. 2c; 121 II 241 consid. 3a e b; TPF 2010 73 consid. 7.1). Vietata in particolare è la cosiddetta fishing expedition, la quale è definita dalla giuri- sprudenza una ricerca generale ed indeterminata di mezzi di prova volta a fon- 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inammissibile procedere a casaccio nella raccolta delle prove (DTF 113 Ib 257 consid. 5c).</w:t>
      </w:r>
    </w:p>
    <w:p>
      <w:r>
        <w:rPr>
          <w:b/>
        </w:rPr>
        <w:t>E. 3.2</w:t>
      </w:r>
    </w:p>
    <w:p>
      <w:r>
        <w:t>Nella fattispecie, le indagini condotte dalle autorità italiane hanno permesso di stabilire che K. SA sarebbe posseduta al 30% da B., al 38% da O. e al 32% da J. Tale società possiederebbe quote, con diverse percentuali ma non inferiori al 50%, in diverse società italiane già note agli inquirenti, quali P. S.r.l. (70%), M. S.r.l. (100%), Q. S.r.l. (50%), R. S.r.l. (50%) e S. S.r.l. (50%), precisato che quest'ultima controllerebbe al 50% T. S.r.l. e R. S.r.l. (v. nota della Guardia di Finanza, Gruppo di Z., del 3 giugno 2016, pag. 2, in atto 1 incarto MP-TI). Sulla base della documentazione sequestrata agli indagati, le autorità estere sono giunte alla conclusione che gli introiti degli affari del sodalizio criminale sareb- bero stati riversati a K. SA. Tra la documentazione sottoposta a sequestro sono stati rinvenuti diversi atti nei quali si fa riferimento alla A. SA quale proprietaria del marchio "N.", precisato che tale società al momento dei fatti aveva la mede- sima sede e il medesimo amministratore unico, nella persona di F., di K. SA (v. ibidem, pag. 2 e segg.). Quanto precede è sufficiente per ammettere l'esi- stenza di un'utilità potenziale della documentazione litigiosa, più precisamente della contabilità 2015 consegnata brevi manu l'11 aprile 2018, sola documenta- zione per la quale è qui data legittimazione ricorsuale dell'insorgente (v. supra</w:t>
      </w:r>
    </w:p>
    <w:p>
      <w:r>
        <w:t>- 9 -</w:t>
      </w:r>
    </w:p>
    <w:p>
      <w:r>
        <w:t>consid. 1.4). L'autorità estera deve poter verificare e chiarire l'eventuale ruolo assunto dalla ricorrente nella vicenda oggetto d'indagine, società che potrebbe essere implicata, come K. SA, nelle distrazioni di fondi contestate agli indagati.</w:t>
      </w:r>
    </w:p>
    <w:p>
      <w:r>
        <w:t>Spetterà comunque al giudice estero del merito valutare se dalla documenta- zione inoltrata emerge in concreto una connessione penalmente rilevante fra i fatti oggetto della procedura penale in Italia e detta documentazione. Alla luce della domanda rogatoriale risulta che la documentazione litigiosa è potenzial- mente utile per l’inchiesta, motivo per cui la sua trasmissione rispetta il principio della proporzionalità e non costituisce un'inammissibile fishing expedition.</w:t>
      </w:r>
    </w:p>
    <w:p>
      <w:r>
        <w:rPr>
          <w:b/>
        </w:rPr>
        <w:t>E. 4</w:t>
      </w:r>
    </w:p>
    <w:p>
      <w:r>
        <w:t>In definitiva, la decisione impugnata va confermata e il gravame respinto, nella misura della sua ammissibilità.</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di pari importo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