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RR.2018.329 vom 14. Februar 2019</w:t>
      </w:r>
    </w:p>
    <w:p>
      <w:r>
        <w:t>Bundesstrafgericht, 2019-02-14, DE</w:t>
      </w:r>
    </w:p>
    <w:p>
      <w:r>
        <w:rPr>
          <w:b/>
        </w:rPr>
        <w:t xml:space="preserve">Quelle: </w:t>
      </w:r>
      <w:r>
        <w:t>https://mcp.opencaselaw.ch/entscheid/bstger_RR.2018.329</w:t>
      </w:r>
    </w:p>
    <w:p>
      <w:r>
        <w:t>FR: TPF RR.2018.329 du 14 février 2019</w:t>
      </w:r>
    </w:p>
    <w:p>
      <w:r>
        <w:t>IT: TPF RR.2018.329 del 14 febbraio 2019</w:t>
      </w:r>
    </w:p>
    <w:p>
      <w:pPr>
        <w:pStyle w:val="Heading2"/>
      </w:pPr>
      <w:r>
        <w:t>Regeste</w:t>
      </w:r>
    </w:p>
    <w:p>
      <w:r>
        <w:t>Auslieferung an die Republik Kosovo. Einrede des politischen Delikts (Art. 55 Abs. 2 IRSG).</w:t>
      </w:r>
    </w:p>
    <w:p>
      <w:pPr>
        <w:pStyle w:val="Heading2"/>
      </w:pPr>
      <w:r>
        <w:t>Erwägungen</w:t>
      </w:r>
    </w:p>
    <w:p>
      <w:r>
        <w:rPr>
          <w:b/>
        </w:rPr>
        <w:t>E. 1</w:t>
      </w:r>
    </w:p>
    <w:p>
      <w:r>
        <w:t>Bis heute ist die Republik Kosovo weder Vertragsstaat des Europäischen Auslieferungsübereinkommens noch wurde mit der Schweiz ein bilateraler</w:t>
      </w:r>
    </w:p>
    <w:p>
      <w:r>
        <w:t>- 4 -</w:t>
      </w:r>
    </w:p>
    <w:p>
      <w:r>
        <w:t>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ZIMMERMANN, La coopé- ration judiciaire internationale en matière pénale, 4. Aufl. 2014, N. 273).</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TPF 2008 24 E. 1.2). Das Verfahren der Beschwerde nach Art. 25 IRSG ist dabei sinngemäss an- wendbar (Art. 55 Abs. 3 IRSG). Die Beschwerdekammer hat nur über die Einrede des politischen Delikts in erster Instanz zu befinden und dem BJ den Entscheid über die übrigen Auslieferungsvoraussetzungen zu überlassen (TPF 2008 24 E. 1.2 m.w.H.). Auch in Fällen, bei denen Einreden des politi- schen Delikts erfolgen oder sich bei der Instruktion entsprechende Fragen stellen, hat das BJ die notwendigen Sachabklärungen hinsichtlich aller Aus- lieferungsvoraussetzungen vollumfänglich vorzunehmen (BGE 130 II 337 E. 1.1.2; 128 II 355 E. 1.1.2).</w:t>
      </w:r>
    </w:p>
    <w:p>
      <w:r>
        <w:rPr>
          <w:b/>
        </w:rPr>
        <w:t>E. 2.2</w:t>
      </w:r>
    </w:p>
    <w:p>
      <w:r>
        <w:t>Der Antragsgegner hat im Rahmen des Auslieferungsverfahrens geltend ge- macht, er werde aus politischen Gründen strafrechtlich verfolgt (vgl. act. 1.9, S. 7). Mit Entscheid vom 19. Dezember 2018 bewilligte das BJ die Ausliefe- rung des Antragsgegners unter Vorbehalt des Entscheides der Beschwerde- kammer über die Einrede des politischen Delikts (act. 1.1) und beantragte der Beschwerdekammer mit Eingabe vom selben Tag, die Einrede des poli- tischen Delikts abzulehnen (act. 1). Dem Antragsgegner wurde im Sinne von</w:t>
      </w:r>
    </w:p>
    <w:p>
      <w:r>
        <w:t>- 5 -</w:t>
      </w:r>
    </w:p>
    <w:p>
      <w:r>
        <w:t>Art. 55 Abs. 2 IRSG Gelegenheit gegeben, sich zum Antrag zu äussern (act. 3).</w:t>
      </w:r>
    </w:p>
    <w:p>
      <w:r>
        <w:rPr>
          <w:b/>
        </w:rPr>
        <w:t>E. 3.1</w:t>
      </w:r>
    </w:p>
    <w:p>
      <w:r>
        <w:t>Der Antragsgegner erhob in seiner Stellungnahme vom 3. Oktober 2018 die Einrede des politischen Delikts. Er machte geltend, am 7. November 2011 sei es in einer Diskothek, die C. gehöre, zu einem verbalen Streit zwischen ihm, B. und C. gekommen. B. sei ein enger Vertrauter von C., dem Leiter des ehemaligen kosovarischen Geheimdienstes (SHIK) für die Region Mitrovica. Offenkundig verfüge C. über beste Beziehungen in die höchsten Regie- rungskreise des Kosovo und solle angeblich als Teil der berüchtigten „Dre- nica-Gruppe“ verschiedene Verbrechen begangen haben. Wer sich mit C. oder einem seiner Freunde anlege, sei sich seines Lebens nicht mehr sicher. So hätten C. und B. mehrfach versucht, nach dem Streit in der Diskothek, den Antragsgegner bzw. dessen Bruder und Vater zu töten. Schliesslich sei eines Tages die kosovarische Polizei beim Haus der Familie des Antrags- gegners erschienen und habe dessen Vater aufgefordert, auf den Balkon zu treten. Als dieser der Aufforderung nachgekommen sei, sei er im Beisein der Polizei erschossen worden. Es sei damit offensichtlich, dass der Antrags- gegner aus politischen Gründen zur Rechenschaft gezogen werden soll für ein von ihm nicht begangenes Delikt (act. 1.9).</w:t>
      </w:r>
    </w:p>
    <w:p>
      <w:r>
        <w:rPr>
          <w:b/>
        </w:rPr>
        <w:t>E. 3.2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w:t>
      </w:r>
    </w:p>
    <w:p>
      <w:r>
        <w:t>In der Praxis wird zwischen sogenannt „absolut“ politischen und „relativ“ po- litischen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w:t>
      </w:r>
    </w:p>
    <w:p>
      <w:r>
        <w:t>- 6 -</w:t>
      </w:r>
    </w:p>
    <w:p>
      <w:r>
        <w:t>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einem dieser Gründe ausgesetzt wäre (Art. 3 Ziff. 2 EAUe; vgl. auch Art. 2 lit. b und c IRSG).</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N. 629 m.w.H.; HEIMGARTNER, Ausliefe- rungsrecht, 2002, S. 124).</w:t>
      </w:r>
    </w:p>
    <w:p>
      <w:r>
        <w:rPr>
          <w:b/>
        </w:rPr>
        <w:t>E. 3.3</w:t>
      </w:r>
    </w:p>
    <w:p>
      <w:r>
        <w:t>Bei den Straftaten, für welche die Republik Kosovo um Auslieferung des An- tragsgegners ersucht, handelt es sich weder um absolut noch um relativ po- litische Delikte im Sinne der oben angeführten Rechtsprechung. Derartiges wird auch vom Antragsgegner selbst nicht geltend gemacht.</w:t>
      </w:r>
    </w:p>
    <w:p>
      <w:r>
        <w:t>Weshalb der Antragsgegner aus politischen Gründen strafrechtlich verfolgt werden sollte, zeigt er in seiner Stellungnahme vom 3. Oktober 2018 nicht auf und ist auch nicht ersichtlich. Der Antragsgegner macht zwar geltend, C. nehme als ehemaliger Leiter des kosovarischen Nachrichtendienstes in der Region Mitrovica und mit besten Beziehungen in die höchste Führung des Landes entscheidenden Einfluss auf rechtsstaatliche Verfahren. Gerade der Umstand, dass C. und B. nach den Schüssen auf den Vater des Antrags- gegners völlig unbehelligt geblieben seien, zeuge davon, dass die staatli- chen Strukturen schwach seien und die Interessen einflussreicher Privatper-</w:t>
      </w:r>
    </w:p>
    <w:p>
      <w:r>
        <w:t>- 7 -</w:t>
      </w:r>
    </w:p>
    <w:p>
      <w:r>
        <w:t>sonen unter Umständen über die korrekte Wahrnehmung ihrer eigenen Auf- gaben gestellt würden (act. 1.9. S. 6). Im Zusammenhang mit dem Asylge- such des Antragsgegners klärte die schweizerische Botschaft in Kosovo im Auftrag des SEM die geltend gemachte Problematik betreffend die Person von C. sorgfältig ab. Dabei wurde bloss festgestellt, dass C. als Anführer der Drenica-Gruppe bekannt sei und dass es sich um eine schillernde Person handle. Hinweise, dass er in die genannten Fällen involviert gewesen sei bzw. dass er Richter oder Zeugen eingeschüchtert hätte, gebe es hingegen keine (vgl. act. 1.11, Brief vom 26. Juli 2018, S. 5). Der Fall der Schussab- gabe auf den Vater und Bruder des Antragsgegners vom 7. November 2011 sei zudem gerichtlich gelöst und die Täterschaft sei bestraft worden (vgl. act. 1.11, Brief vom 26. Juli 2018 S. 5). Die Tatsache, dass die Schussab- gabe vom 3. Januar 2013 bzw. die Tötung des Vaters des Antragsgegners demgegenüber noch nicht abgeklärt sein soll, ist zwar bedauerlich, aber es bestehen keine Anhaltspunkte für die Annahme, das Auslieferungsverfahren sei bloss vorgeschoben worden, um den Antragsgegner politisch verfolgen zu können. Eine politische Verfolgungssituation ist nicht nachgewiesen und wurde vom Antragsgegner auch nicht im Ansatz glaubhaft gemacht. Die Vor- instanz machte zudem die Auslieferung von diplomatischen Zusicherungen abhängig (vgl. act. 1.5). Verlangt wurde insbesondere eine mit Art. 3 EMRK in Einklang stehende Behandlung des Antragsgegners und die Zusicherung, dass die diplomatische Vertretung der Schweiz berechtigt ist, den Ausgelie- ferten jederzeit und unangemeldet ohne jegliche Überwachungsmassnahme zu besuchen. Zudem soll der Ausgelieferte das Recht haben, sich jederzeit an die diplomatische Vertretung der Schweiz zu wenden. Diese Zusicherun- gen wurden vom kosovarischen Justizministerium mit Schreiben vom 5. Ap- ril 2018 vollständig abgegeben (act. 1.6). Derartige Garantierklärungen ste- hen im Einklang mit der Rechtsprechung (BGE 134 IV 156 E. 6.7 ff.; Urteil des Bundesgerichts 1C_99/2018 vom 27. März 2018 E. 2.2). Weshalb die diplomatischen Garantieren in concreto nicht ausreichend sein sollen, wird vom Antragsgegner nicht näher begründet.</w:t>
      </w:r>
    </w:p>
    <w:p>
      <w:r>
        <w:rPr>
          <w:b/>
        </w:rPr>
        <w:t>E. 3.4</w:t>
      </w:r>
    </w:p>
    <w:p>
      <w:r>
        <w:t>Die Einrede des politischen Delikts ist nach dem Gesagten abzuweisen.</w:t>
      </w:r>
    </w:p>
    <w:p>
      <w:r>
        <w:rPr>
          <w:b/>
        </w:rPr>
        <w:t>E. 4</w:t>
      </w:r>
    </w:p>
    <w:p>
      <w:r>
        <w:t>Bei diesem Ausgang des Verfahrens sind die Gerichtskosten dem Antrags- gegner aufzuerlegen (Art. 63 Abs. 1 VwVG). Die Gerichtsgebühr ist auf Fr. 3'000.-- festzusetzen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