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RR.2018.316 vom 10. Januar 2019</w:t>
      </w:r>
    </w:p>
    <w:p>
      <w:r>
        <w:t>Bundesstrafgericht, 2019-01-10, DE</w:t>
      </w:r>
    </w:p>
    <w:p>
      <w:r>
        <w:rPr>
          <w:b/>
        </w:rPr>
        <w:t xml:space="preserve">Quelle: </w:t>
      </w:r>
      <w:r>
        <w:t>https://mcp.opencaselaw.ch/entscheid/bstger_RR.2018.316</w:t>
      </w:r>
    </w:p>
    <w:p>
      <w:r>
        <w:t>FR: TPF RR.2018.316 du 10 janvier 2019</w:t>
      </w:r>
    </w:p>
    <w:p>
      <w:r>
        <w:t>IT: TPF RR.2018.316 del 10 gennaio 2019</w:t>
      </w:r>
    </w:p>
    <w:p>
      <w:pPr>
        <w:pStyle w:val="Heading2"/>
      </w:pPr>
      <w:r>
        <w:t>Regeste</w:t>
      </w:r>
    </w:p>
    <w:p>
      <w:r>
        <w:t>Internationale Rechtshilfe in Strafsachen an Dänemark. Amtlicher Beistand (Art. 21 Abs. 1 IRSG). Unentgeltliche Rechtspflege (Art. 65 VwVG).</w:t>
      </w:r>
    </w:p>
    <w:p>
      <w:pPr>
        <w:pStyle w:val="Heading2"/>
      </w:pPr>
      <w:r>
        <w:t>Erwägungen</w:t>
      </w:r>
    </w:p>
    <w:p>
      <w:r>
        <w:rPr>
          <w:b/>
        </w:rPr>
        <w:t>E. 1.1</w:t>
      </w:r>
    </w:p>
    <w:p>
      <w:r>
        <w:t>Für die Rechtshilfe zwischen Dänemark und der Schweiz sind in erster Linie das Europäische Übereinkommen vom 20. April 1959 über die Rechtshilfe in Strafsachen (EUeR; SR 0.351.1) und das zweite Zusatzprotokoll vom 8. No- vember 2001 zum EUeR (ZP II EUeR; SR 0.351.12) massgeblich.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 sätze 2 und 3 EUeR; ZIMMERMANN, La coopération judiciaire internationale en matière pénale, 4. Aufl. 2014, N. 18-21, 28-40, 77, 109).</w:t>
      </w:r>
    </w:p>
    <w:p>
      <w:r>
        <w:t>Soweit die Staatsverträge und das Zusatzprotokoll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4. Aufl. 2014, N. 229), sind das Bundesgesetz vom 20. März</w:t>
      </w:r>
    </w:p>
    <w:p>
      <w:r>
        <w:t>- 5 -</w:t>
      </w:r>
    </w:p>
    <w:p>
      <w:r>
        <w:t>1981 über internationale Rechtshilfe in Strafsachen (IRSG; SR 351.1) und die dazugehörige Verordnung vom 24. Februar 1982 (IRSV; SR 351.11) an- wendbar (Art. 1 Abs. 1 IRSG; BGE 143 IV 91 E. 1.3; 136 IV 82 E. 3.2; 130 II 337 E. 1; vgl. auch Art. 54 StPO). Vorbehalten bleibt die Wahrung der Men- schenrechte (BGE 139 II 65 E. 5.4; 135 IV 212 E. 2.3; 123 II 595 E. 7c; TPF 2008 24 E. 1.1; ZIMMERMANN, a.a.O., N. 211 ff., 223 ff., 681 ff.).</w:t>
      </w:r>
    </w:p>
    <w:p>
      <w:r>
        <w:rPr>
          <w:b/>
        </w:rPr>
        <w:t>E. 1.2</w:t>
      </w:r>
    </w:p>
    <w:p>
      <w:r>
        <w:t>Auf Beschwerdeverfahren in internationalen Rechtshilfeangelegenheiten sind zudem die Bestimmungen des Bundesgesetzes vom 20. Dezem- 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Gemäss Art. 25 Abs. 1 IRSG unterliegen erstinstanzliche Verfügungen der kantonalen Behörden und der Bundesbehörden, soweit das Gesetz nichts anderes bestimmt, unmittelbar der Beschwerde an die Beschwerdekammer des Bundesstrafgerichts. Im Bereich der kleinen Rechtshilfe sieht das IRSG vor, dass die Verfügung der ausführenden kantonalen Behörde oder der aus- führenden Bundesbehörde, mit der das Rechtshilfeverfahren abgeschlossen wird, zusammen mit den vorangehenden Zwischenverfügungen der Be- schwerde an die Beschwerdekammer des Bundesstrafgerichts unterliegt (Art. 80e Abs. 1 IRSG).</w:t>
      </w:r>
    </w:p>
    <w:p>
      <w:r>
        <w:t>Der Schlussverfügung vorangehende Zwischenverfügungen können nur ausnahmsweise selbständig angefochten werden, nämlich dann, wenn sie durch die Beschlagnahme von Vermögenswerten und Wertgegenständen oder durch die Anwesenheit von Personen, die am ausländischen Prozess beteiligt sind, einen unmittelbaren und nicht wiedergutzumachenden Nach- teil bewirken (Art. 80e Abs. 2 lit. a und b IRSG). Die Aufzählung der selb- ständig anfechtbaren Zwischenverfügungen ist gemäss bundesgerichtlicher Auslegung grundsätzlich abschliessend (BGE 126 II 495). Die Frist gegen die Schlussverfügung beträgt 30 Tage, gegen die Zwischenverfügung zehn Tage ab der schriftlichen Mitteilung der Verfügung (Art. 80k IRSG).</w:t>
      </w:r>
    </w:p>
    <w:p>
      <w:r>
        <w:rPr>
          <w:b/>
        </w:rPr>
        <w:t>E. 2.2</w:t>
      </w:r>
    </w:p>
    <w:p>
      <w:r>
        <w:t>Die hier angefochtene Verfügung schliesst weder das Rechtshilfeverfahren ab noch ist sie eine selbständig anfechtbare Zwischenverfügung i.S.v. Art. 80e Abs. 2 IRSG. Es handelt sich um eine Zwischenverfügung, die nur zusammen mit der Schlussverfügung angefochten werden kann. Mangels</w:t>
      </w:r>
    </w:p>
    <w:p>
      <w:r>
        <w:t>- 6 -</w:t>
      </w:r>
    </w:p>
    <w:p>
      <w:r>
        <w:t>eines zulässigen Anfechtungsobjekts ist auf die vorliegende Beschwerde nicht einzutreten. Bei diesem Ergebnis bedarf es keiner Sistierung des Ver- fahrens, weshalb der entsprechende Antrag des Beschwerdeführers abzu- weisen ist.</w:t>
      </w:r>
    </w:p>
    <w:p>
      <w:r>
        <w:rPr>
          <w:b/>
        </w:rPr>
        <w:t>E. 3.1</w:t>
      </w:r>
    </w:p>
    <w:p>
      <w:r>
        <w:t>Bei diesem Ausgang des Verfahrens hätte der Beschwerdeführer die Ge- richtskosten zu tragen. In seiner Beschwerde ersucht er um unentgeltliche Rechtspflege und Rechtsverbeiständung (act. 1).</w:t>
      </w:r>
    </w:p>
    <w:p>
      <w:r>
        <w:rPr>
          <w:b/>
        </w:rPr>
        <w:t>E. 3.2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3.3</w:t>
      </w:r>
    </w:p>
    <w:p>
      <w:r>
        <w:t>Die vorliegende Beschwerde ist als aussichtslos zu bezeichnen. Folglich ist das Gesuch RP.2018.61 bereits aus diesem Grund abzuweisen. Die Ge- richtsgebühr ist unter der Berücksichtigung der besonderen Situation des Beschwerdeführers auf Fr. 400.-- festzusetzen und dem Beschwerdeführer aufzuerlegen (Art. 8 Abs. 3 des Reglement des Bundesstrafgerichts vom 31. August 2010 über die Kosten, Gebühren und Entschädigungen in Bun- desstrafverfahren [BStKR; SR 173.713.162] i.V.m. Art. 63 Abs. 5 VwVG).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