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RR.2018.314 vom 6. Dezember 2018</w:t>
      </w:r>
    </w:p>
    <w:p>
      <w:r>
        <w:t>Bundesstrafgericht, 2018-12-06, DE</w:t>
      </w:r>
    </w:p>
    <w:p>
      <w:r>
        <w:rPr>
          <w:b/>
        </w:rPr>
        <w:t xml:space="preserve">Quelle: </w:t>
      </w:r>
      <w:r>
        <w:t>https://mcp.opencaselaw.ch/entscheid/bstger_RR.2018.314</w:t>
      </w:r>
    </w:p>
    <w:p>
      <w:r>
        <w:t>FR: TPF RR.2018.314 du 6 décembre 2018</w:t>
      </w:r>
    </w:p>
    <w:p>
      <w:r>
        <w:t>IT: TPF RR.2018.314 del 6 dicembre 2018</w:t>
      </w:r>
    </w:p>
    <w:p>
      <w:pPr>
        <w:pStyle w:val="Heading2"/>
      </w:pPr>
      <w:r>
        <w:t>Regeste</w:t>
      </w:r>
    </w:p>
    <w:p>
      <w:r>
        <w:t>Internationale Rechtshilfe in Strafsachen an Griechenland. Beschlagnahme von Vermögenswerten (Art. 80e Abs. 2 lit. a IRSG). Aufschiebende Wirkung (Art. 80l Abs. 3 IRSG). Unentgeltliche Rechtspflege (Art. 65 VwVG).</w:t>
      </w:r>
    </w:p>
    <w:p>
      <w:pPr>
        <w:pStyle w:val="Heading2"/>
      </w:pPr>
      <w:r>
        <w:t>Erwägungen</w:t>
      </w:r>
    </w:p>
    <w:p>
      <w:r>
        <w:rPr>
          <w:b/>
        </w:rPr>
        <w:t>E. 26</w:t>
      </w:r>
    </w:p>
    <w:p>
      <w:r>
        <w:t>November 2018, um 23.59 Uhr, deponiert worden sei (act. 8, 8.1);</w:t>
      </w:r>
    </w:p>
    <w:p>
      <w:r>
        <w:t>- aufgrund unterschiedlicher Angaben nicht abschliessend festgestellt werden kann, ob die Beschwerde vom 26. November 2018 der schweizerischen Post zu Handen des Gerichts fristgerecht übergeben wurde;</w:t>
      </w:r>
    </w:p>
    <w:p>
      <w:r>
        <w:t>- das allgemeine Vorbringen der Beschwerdeführer, wonach ihr gesamtes Vermögen in Griechenland und Frankreich beschlagnahmt worden sei und sie ihre Miete, Krankenkasse und Anwaltskosten nicht bezahlen könnten (act. 1, S. 4), zur Glaubhaftmachung des nicht wieder gutzumachenden Nachteils nicht ausreicht;</w:t>
      </w:r>
    </w:p>
    <w:p>
      <w:r>
        <w:t>- auf die Beschwerde vom 26. November 2018 mangels eines wieder gutzu- machenden Nachteils nicht einzutreten ist und die Frage der Fristwahrung bei diesem Ergebnis offengelassen werden kann; auf die Beschwerde vom 3. Dezember 2018 im Übrigen auch mangels eines wieder gutzumachenden Nachteils nicht einzutreten wäre;</w:t>
      </w:r>
    </w:p>
    <w:p>
      <w:r>
        <w:t>- aufgrund des Ergebnisses ebenfalls offengelassen werden kann, ob der Be- schwerdeführer 1 zur Erhebung der vorliegenden Beschwerden überhaupt legitimiert wäre (vgl. Art. 9a lit. a IRSV), zumal das von der Rechtshilfemass- nahme betroffene Konto lediglich auf die Beschwerdeführerin 2 lautet (RR.2018.314-315, act. 9.4);</w:t>
      </w:r>
    </w:p>
    <w:p>
      <w:r>
        <w:t>- sich die Beschwerden nach dem Gesagten als offensichtlich unzulässig er- weisen, weshalb auf die Durchführung eines Schriftenwechsels und den Bei- zug der betreffenden Akten der Beschwerdegegnerin und des BJ zu verzich- ten ist (Art. 57 Abs. 1 VwVG e contrario i.V.m. Art. 39 Abs. 2 lit. b StBOG);</w:t>
      </w:r>
    </w:p>
    <w:p>
      <w:r>
        <w:t>- die – im Übrigen nicht ausreichend begründeten – Gesuche um Erteilung der aufschiebenden Wirkung mit dem Entscheid in der Sache gegenstandslos werden, weshalb die Verfahren RP.2018.57-58 und RP.2018.65-66 als erle- digt abzuschreiben sind;</w:t>
      </w:r>
    </w:p>
    <w:p>
      <w:r>
        <w:t>- bei diesem Ausgang des Verfahrens die Gesuche um Gewährung der unent- geltlichen Rechtspflege und Einsetzung von RA Saal als unentgeltlicher Rechtsbeistand infolge Aussichtslosigkeit abzuweisen und die Gerichtskos- ten den Beschwerdeführern aufzuerlegen sind (Art. 63 Abs. 1 VwVG);</w:t>
      </w:r>
    </w:p>
    <w:p>
      <w:r>
        <w:t>- 6 -</w:t>
      </w:r>
    </w:p>
    <w:p>
      <w:r>
        <w:t>- die Gerichtsgebühr auf insgesamt Fr. 1‘000.-- festzusetzen und den Be- schwerdeführern unter solidarischer Haftung aufzuerlegen ist (Art. 63 Abs. 5 VwVG i.V.m. Art. 73 StBOG und Art. 5 und 8 Abs. 3 lit. a des Reglements des Bundesstrafgerichts vom 31. August 2010 über die Kosten, 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