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RR.2018.313 vom 12. Februar 2019</w:t>
      </w:r>
    </w:p>
    <w:p>
      <w:r>
        <w:t>Bundesstrafgericht, 2019-02-12, FR</w:t>
      </w:r>
    </w:p>
    <w:p>
      <w:r>
        <w:rPr>
          <w:b/>
        </w:rPr>
        <w:t xml:space="preserve">Quelle: </w:t>
      </w:r>
      <w:r>
        <w:t>https://mcp.opencaselaw.ch/entscheid/bstger_RR.2018.313</w:t>
      </w:r>
    </w:p>
    <w:p>
      <w:r>
        <w:t>FR: TPF RR.2018.313 du 12 février 2019</w:t>
      </w:r>
    </w:p>
    <w:p>
      <w:r>
        <w:t>IT: TPF RR.2018.313 del 12 febbraio 2019</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décembre 2002 pour la Roumanie.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80e EIMP, en cas d’informations sur un compte, le titulaire du compte dont les documents font l’objet de la décision de clôture. A. AG, laquelle agit par son liquidateur Me Wietlisbach, est titulaire des relations bancaires objet de la décision attaquée de sorte qu’elle a qualité pour s’opposer à leur transmission.</w:t>
      </w:r>
    </w:p>
    <w:p>
      <w:r>
        <w:rPr>
          <w:b/>
        </w:rPr>
        <w:t>E. 1.4</w:t>
      </w:r>
    </w:p>
    <w:p>
      <w:r>
        <w:t>Le délai de recours contre la décision de clôture est de 30 jours dès la communication écrite de la décision (art. 80k EIMP). Déposé le 22 novembre 2018 à l’encontre de la décision de clôture du 22 octobre 2018, le recours a été déposé en temps utile.</w:t>
      </w:r>
    </w:p>
    <w:p>
      <w:r>
        <w:t>- 5 -</w:t>
      </w:r>
    </w:p>
    <w:p>
      <w:r>
        <w:rPr>
          <w:b/>
        </w:rPr>
        <w:t>E. 2</w:t>
      </w:r>
    </w:p>
    <w:p>
      <w:r>
        <w:t>La recourante invoque une violation de l’art. 2 EIMP sous plusieurs aspects. D’une part la procédure à l’étranger ne serait pas conforme aux principes de procédure fixés par la convention européenne du 4 novembre 1950 de sauvegarde des droits de l’homme et des libertés fondamentales (CEDH; RS 0.101) – et violerait partant l’art. 2 let. a – et d’autre part la procédure présenterait de graves défauts au sens de la lettre d. La demande devrait dès lors être déclarée irrecevable en vertu de l’art. 2 let. a et d EIMP (act. 1, p. 7-8).</w:t>
      </w:r>
    </w:p>
    <w:p>
      <w:r>
        <w:rPr>
          <w:b/>
        </w:rPr>
        <w:t>E. 2.1</w:t>
      </w:r>
    </w:p>
    <w:p>
      <w:r>
        <w:t>A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 demande de coopération est également irrecevable lorsque la procédure dans l’Etat requérant présente d’autres défauts graves (let. d).</w:t>
      </w:r>
    </w:p>
    <w:p>
      <w:r>
        <w:rPr>
          <w:b/>
        </w:rPr>
        <w:t>E. 2.2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2.3</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 Il a récemment été admis qu’une personne morale pouvait invoquer l’art. 2 EIMP, respectivement les dispositions d’un traité identiques en substance, pour autant qu’elle soit elle- même accusée dans le cadre de la procédure pénale étrangère et uniquement pour dénoncer une violation de son droit à un procès équitable</w:t>
      </w:r>
    </w:p>
    <w:p>
      <w:r>
        <w:t>- 6 -</w:t>
      </w:r>
    </w:p>
    <w:p>
      <w:r>
        <w:t>au sens de l’art. 6 CEDH en lien avec l’art. 2 let. a EIMP (TPF 2016 138 consid. 4.2 et 4.3; arrêt du Tribunal pénal fédéral RR.2016.209 du 2 mai 2017 consid. 6).</w:t>
      </w:r>
    </w:p>
    <w:p>
      <w:r>
        <w:rPr>
          <w:b/>
        </w:rPr>
        <w:t>E. 2.4</w:t>
      </w:r>
    </w:p>
    <w:p>
      <w:r>
        <w:t>La recourante reproche à l’autorité intimée de fermer les yeux sur l’actualité et les événements en Roumanie. Ainsi selon elle, les Tribunaux allemands mettraient en doute, dans leurs décisions récentes, le respect de la CEDH par la Roumanie. De plus, le rapport de la Commission européenne du 13 novembre 2018 soulèverait ouvertement la question de l’indépendance de la justice en Roumanie (act. 1, p. 7). La recourante perd cependant de vue que, en tant que personne morale, elle n’est pas légitimée à se prévaloir d’un droit à un procès équitable et des garanties découlant de l’art. 2 EIMP. De plus, elle a son siège en Suisse – et non sur le territoire de l’Etat requérant – et n’est pas prévenue dans l’enquête roumaine (cf. infra, consid. 3.2). Il convient dès lors de rejeter d’emblée le grief de la recourante, sans analyser de manière plus approfondie les lettres a et d de l’art. 2 EIMP.</w:t>
      </w:r>
    </w:p>
    <w:p>
      <w:r>
        <w:rPr>
          <w:b/>
        </w:rPr>
        <w:t>E. 3</w:t>
      </w:r>
    </w:p>
    <w:p>
      <w:r>
        <w:t>La recourante se prévaut ensuite d’une violation de l’art. 3 al. 1 EIMP, au motif que les infractions auraient un caractère politique prépondérant. Elle soutient que le service de renseignements roumain aurait une influence considérable sur les autorités judiciaires. De plus, plusieurs personnes mêlées à l’enquête seraient d’importantes personnalités politiques en Roumanie ayant été au pouvoir. Le but de l’enquête serait dès lors d’empêcher ces personnalités d’y revenir (act. 1, p. 8-9).</w:t>
      </w:r>
    </w:p>
    <w:p>
      <w:r>
        <w:rPr>
          <w:b/>
        </w:rPr>
        <w:t>E. 3.1</w:t>
      </w:r>
    </w:p>
    <w:p>
      <w:r>
        <w:t>Aux termes de l’art. 3 al. 1 EIMP, la demande d’entraide est irrecevable si la procédure vise un acte qui, selon les conceptions suisses, revêt un caractère politique prépondérant, constitue une violation des obligations militaires ou d’obligations similaires, ou paraît dirigé contre la défense nationale ou la puissance défensive de l’Etat requérant. Seule la personne poursuivie dans l’Etat requérant peut se prévaloir de l’exception du délit politique (ZIMMERMANN, La coopération judiciaire internationale en matière pénale, 4e éd. 2014, n° 617, p. 628).</w:t>
      </w:r>
    </w:p>
    <w:p>
      <w:r>
        <w:rPr>
          <w:b/>
        </w:rPr>
        <w:t>E. 3.2</w:t>
      </w:r>
    </w:p>
    <w:p>
      <w:r>
        <w:t>En l’espèce, et comme rappelé supra (cf. consid. 2.4), la recourante n’est pas poursuivie dans l’Etat requérant et a son siège en Suisse. Elle ne peut dès lors se prévaloir de l’exception du délit politique, de sorte que le grief y relatif soulevé par la recourante doit être rejeté.</w:t>
      </w:r>
    </w:p>
    <w:p>
      <w:r>
        <w:rPr>
          <w:b/>
        </w:rPr>
        <w:t>E. 4</w:t>
      </w:r>
    </w:p>
    <w:p>
      <w:r>
        <w:t>La recourante invoque encore une violation du principe de la proportionnalité. Selon elle, l’autorité intimée serait allée au-delà de ce que</w:t>
      </w:r>
    </w:p>
    <w:p>
      <w:r>
        <w:t>- 7 -</w:t>
      </w:r>
    </w:p>
    <w:p>
      <w:r>
        <w:t>demandaient les autorités roumaines. Seule la période comprise entre 2010 et 2013 serait pertinente la concernant, de sorte que la transmission des informations bancaires antérieures serait disproportionnée.</w:t>
      </w:r>
    </w:p>
    <w:p>
      <w:r>
        <w:rPr>
          <w:b/>
        </w:rPr>
        <w:t>E. 4.1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rPr>
          <w:b/>
        </w:rPr>
        <w:t>E. 4.2</w:t>
      </w:r>
    </w:p>
    <w:p>
      <w:r>
        <w:t>Les autorités suisses sont tenues, au sens de la procédure d’entraide,</w:t>
      </w:r>
    </w:p>
    <w:p>
      <w:r>
        <w:t>- 8 -</w:t>
      </w:r>
    </w:p>
    <w:p>
      <w:r>
        <w:t>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4.4</w:t>
      </w:r>
    </w:p>
    <w:p>
      <w:r>
        <w:t>Il ressort de la demande d’entraide des autorités roumaines que leur enquête porte sur des contrats fictifs conclus notamment entre B. SA et C. GmbH, ces contrats ayant pour but de trouver une justification pour le transfert de sommes d’argent négociées par les fonctionnaires gouvernementaux avec C. GmbH. Les paiements ont été effectués par le biais de diverses sociétés (selon la demande complémentaire: un circuit financier qui inclut plusieurs sociétés commerciales; dossier du MPC, Ad 1-demande complémentaire, p. 2), lesquelles avaient des comptes bancaires dans différents pays (Autriche, Allemagne, Suisse, Chypre, Îles Vierges Britanniques). Ainsi, entre 2005 et 2013, les enquêteurs roumains ont pu identifier bon nombre</w:t>
      </w:r>
    </w:p>
    <w:p>
      <w:r>
        <w:t>- 9 -</w:t>
      </w:r>
    </w:p>
    <w:p>
      <w:r>
        <w:t>de transactions suspectes, impliquant les principales personnes sous enquête et protagonistes ayant mis au point ces systèmes. Elle mentionne ainsi des virements effectués par C. GmbH d’une valeur globale de € 11'518.098 entre les années 2010 et 2013 en faveur de la recourante et de G. Limited, ainsi qu’un virement de € 100'000.-- réalisé par la recourante en faveur de H. SA le 18 août 2010. A l’appui de la demande d’entraide sont joints notamment les documents suivants: un avis de crédit de la banque suisse I. portant sur le versement effectué par la recourante depuis son compte à la banque F. en faveur de H. SA pour un montant de € 100'000.-- (dossier MPC, Ad 1, CRI p. 16); des échanges de courriels entre J. (ancien administrateur de la recourante) et D. portant sur des paiements effectués en 2011 et se montant à € 2'451'725.24 (ibidem, p. 24-26); un contrat intitulé Addendum n° 3 to the consultancy Agreement, daté du 10 juillet 2012, conclu entre la recourante et C. GmbH et portant notamment sur une prime de succès d’un montant de € 8'147'450.90 (ibidem, p. 28).</w:t>
      </w:r>
    </w:p>
    <w:p>
      <w:r>
        <w:t>Dans sa demande du 11 décembre 2017, l’autorité requérante sollicite expressément la documentation bancaire, soit notamment les extraits de compte, dès le 1er janvier 2005, de la relation bancaire de la recourante déjà identifiée. Par conséquent, même si la période concernant la recourante semble se limiter aux années 2010 à 2013 selon la commission rogatoire, il n’en demeure pas moins que l’autorité requérante dispose d’un intérêt à vérifier elle-même que la recourante n’ait pas été impliquée dans des transactions antérieures, dès lors que la période sous enquête commence en 2005 déjà. Par conséquent et contrairement aux affirmations de la recourante, les extraits bancaires à partir de l’année 2005 présentent une utilité potentielle pour l’enquête étrangère, et ils ont expressément été sollicités par les autorités roumaines. Il s’ensuit que le grief tiré de la violation du principe de la proportionnalité doit également être rejeté.</w:t>
      </w:r>
    </w:p>
    <w:p>
      <w:r>
        <w:t>5. Enfin, les griefs que la recourante fait valoir concernant des tiers – personnes physiques ou morales – ne sauraient être examinés dans la mesure où, comme l’a rappelé l’autorité intimée (act. 1.7, p. 5-6), il incombe à la personne touchée – et elle seule – d’exposer en quoi la décision violerait ses droits. Les griefs concernant la recourante ayant été examinés dans le cadre du présent recours, il n’incombe pas à la Cour de céans d’étudier si la décision attaquée nuirait à des tiers.</w:t>
      </w:r>
    </w:p>
    <w:p>
      <w:r>
        <w:t>6. Au vu de ce qui précède, le recours, mal fondé, est rejeté.</w:t>
      </w:r>
    </w:p>
    <w:p>
      <w:r>
        <w:t>- 10 -</w:t>
      </w:r>
    </w:p>
    <w:p>
      <w:r>
        <w:t>7. 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3'000.--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