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RR.2018.289 vom 2. November 2018</w:t>
      </w:r>
    </w:p>
    <w:p>
      <w:r>
        <w:t>Bundesstrafgericht, 2018-11-02, DE</w:t>
      </w:r>
    </w:p>
    <w:p>
      <w:r>
        <w:rPr>
          <w:b/>
        </w:rPr>
        <w:t xml:space="preserve">Quelle: </w:t>
      </w:r>
      <w:r>
        <w:t>https://mcp.opencaselaw.ch/entscheid/bstger_RR.2018.289</w:t>
      </w:r>
    </w:p>
    <w:p>
      <w:r>
        <w:t>FR: TPF RR.2018.289 du 2 novembre 2018</w:t>
      </w:r>
    </w:p>
    <w:p>
      <w:r>
        <w:t>IT: TPF RR.2018.289 del 2 novembre 2018</w:t>
      </w:r>
    </w:p>
    <w:p>
      <w:pPr>
        <w:pStyle w:val="Heading2"/>
      </w:pPr>
      <w:r>
        <w:t>Regeste</w:t>
      </w:r>
    </w:p>
    <w:p>
      <w:r>
        <w:t>Internationale Rechtshilfe in Strafsachen an Brasilien. Beschlagnahme von Vermögenswerten (Art. 80e Abs. 2 lit. a IRSG). Aufschiebende Wirkung (Art. 80l IRSG).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 2015, N. 1653);</w:t>
      </w:r>
    </w:p>
    <w:p>
      <w:r>
        <w:t>- bei diesem Ausgang des Verfahrens das Nebenverfahren betreffend auf- schiebende Wirkung zufolge Gegenstandslosigkeit als erledigt abzuschrei- ben ist;</w:t>
      </w:r>
    </w:p>
    <w:p>
      <w:r>
        <w:t>- die Partei, die ihre Beschwerde zurückzieht, grundsätzlich als unterliegende Partei gilt, weshalb ihr gemäss Art. 63 Abs. 1 VwVG die Verfahrenskosten aufzuerlegen sind (vgl. zuletzt u.a. den Entscheid des Bundesstrafgerichts RR.2018.165 vom 27. Juni 2018 mit Hinweis);</w:t>
      </w:r>
    </w:p>
    <w:p>
      <w:r>
        <w:t>- die Gerichtsgebühr für das vorliegende Beschwerdeverfahren auf Fr. 500.– festzusetzen ist (Art. 63 Abs. 5 VwVG, Art. 73 StBOG sowie Art. 5 und 8 Abs. 3 lit. b des Reglements des Bundesstrafgerichts vom 31. August 2010 über die Kosten, Gebühren und Entschädigungen in Bundesstrafverfahren [BStKR; SR 173.713.162]);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