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RR.2018.274 vom 6. Februar 2019</w:t>
      </w:r>
    </w:p>
    <w:p>
      <w:r>
        <w:t>Bundesstrafgericht, 2019-02-06, DE</w:t>
      </w:r>
    </w:p>
    <w:p>
      <w:r>
        <w:rPr>
          <w:b/>
        </w:rPr>
        <w:t xml:space="preserve">Quelle: </w:t>
      </w:r>
      <w:r>
        <w:t>https://mcp.opencaselaw.ch/entscheid/bstger_RR.2018.274</w:t>
      </w:r>
    </w:p>
    <w:p>
      <w:r>
        <w:t>FR: TPF RR.2018.274 du 6 février 2019</w:t>
      </w:r>
    </w:p>
    <w:p>
      <w:r>
        <w:t>IT: TPF RR.2018.274 del 6 febbraio 2019</w:t>
      </w:r>
    </w:p>
    <w:p>
      <w:pPr>
        <w:pStyle w:val="Heading2"/>
      </w:pPr>
      <w:r>
        <w:t>Regeste</w:t>
      </w:r>
    </w:p>
    <w:p>
      <w:r>
        <w:t>Internationale Rechtshilfe in Strafsachen an Rumänien. Herausgabe von Beweismitteln (Art. 74 IRSG).</w:t>
      </w:r>
    </w:p>
    <w:p>
      <w:pPr>
        <w:pStyle w:val="Heading2"/>
      </w:pPr>
      <w:r>
        <w:t>Erwägungen</w:t>
      </w:r>
    </w:p>
    <w:p>
      <w:r>
        <w:rPr>
          <w:b/>
        </w:rPr>
        <w:t>E. 1.1</w:t>
      </w:r>
    </w:p>
    <w:p>
      <w:r>
        <w:t>Für die Rechtshilfe zwischen Rumänien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Überdies gelangen die Bestimmungen des Übereinkommens vom 8. November 1990</w:t>
      </w:r>
    </w:p>
    <w:p>
      <w:r>
        <w:t>über Geldwäscherei sowie Ermittlung, Beschlagnahme und Einziehung von Erträgen aus Straftaten (Geldwäschereiübereinkommen, GwUe; SR 0.311.53)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Als Inhaberin der von der Rechtshilfe betroffenen Konten ist die Beschwer- deführerin zur Beschwerde legitimiert. Die Beschwerdeführerin macht gel- tend, die Schlussverfügung vom 29. August 2018 sei ihr am 3. Septem- ber 2018 zugestellt worden (act. 1 S. 2), was von der Beschwerdegegnerin nicht bestritten wird. Gestützt auf die dem Gericht vorliegenden Akten kann nicht überprüft werden, wann der Beschwerdeführerin die Schlussverfügung</w:t>
      </w:r>
    </w:p>
    <w:p>
      <w:r>
        <w:t>zugestellt worden ist. Die Frage, ob die Beschwerde vom 3. Oktober 2018 (Poststempel) somit fristgerecht erhoben worden ist, kann jedoch offen blei- ben, da die Beschwerde – wie nachfolgend zu zeigen sein wird – ohnehin abzuweisen ist.</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macht in einem ersten Punkt geltend, die Sachver- haltsdarstellung im Rechtshilfegesuch sei derart knapp gehalten, dass eine Subsumierung unter einen Straftatbestand nach schweizerischem Recht nicht möglich sei (act. 1 S. 5 f.).</w:t>
      </w:r>
    </w:p>
    <w:p>
      <w:r>
        <w:rPr>
          <w:b/>
        </w:rPr>
        <w:t>E. 4.2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w:t>
      </w:r>
    </w:p>
    <w:p>
      <w:r>
        <w:t>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Einwände, die sich auf die Richtigkeit der Darstellung beziehen, Gegenbehauptungen, Be- weiseingaben oder -offerten, die nur das ausländische Sachurteil betreffen, sind vom Rechtshilfegericht nicht zu hören (BGE 132 II 81 E. 2.1).</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sofern er – analog – in der Schweiz begangen worden wäre, die Tatbestandsmerkmale einer schweize- rischen Strafnorm erfüllen würde.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w:t>
      </w:r>
    </w:p>
    <w:p>
      <w:r>
        <w:t>werden, ob darüber hinaus auch noch weitere Tatbestände erfüllt sein könn- ten (BGE 129 II 462 E. 4.6 S. 466). Ebenfalls nicht erforderlich ist, dass dem von der Rechtshilfemassnahme Betroffenen im ausländischen Strafverfah- ren selbst ein strafbares Verhalten zur Last gelegt wird (Urteil des Bundes- gerichts 1A.245/2006 vom 26. Januar 2007 E. 3). Nachfolgend ist somit zu prüfen, ob der Sachverhalt im Rechtshilfeersuchen und dessen Ergänzung genügend konkret dargestellt worden ist, damit eine Subsumtion unter einen schweizerischen Straftatbestand möglich ist.</w:t>
      </w:r>
    </w:p>
    <w:p>
      <w:r>
        <w:rPr>
          <w:b/>
        </w:rPr>
        <w:t>E. 4.4</w:t>
      </w:r>
    </w:p>
    <w:p>
      <w:r>
        <w:t>Dem Rechtshilfeersuchen vom 3. April 2018 kann folgender Sachverhalt ent- nommen werden:</w:t>
      </w:r>
    </w:p>
    <w:p>
      <w:r>
        <w:t>Zwecks Umsetzung des Projekts „D.“ habe das rumänische Ministerium für Kommunikation und Informationsgesellschaft mit der E. Srl einen Vertrag ab- geschlossen, demzufolge sich letztere verpflichtet habe, die Hard- und Soft- ware zu liefern und die Netzwerkinfrastruktur zur Verfügung zu stellen. Im Jahre 2010 habe es mit dem betreffenden rumänischen Ministerium Schwie- rigkeiten mit der Durchführung des Vertrags geben. B. habe vom damaligen Geschäftsführer der E. Srl, G., über C. einen Betrag von EUR 3 Mio. ver- langt, um die Zahlungen im Zusammenhang mit der Ausführung des Ver- trags freizugeben. Den Kontakt zu C. habe H. vermittelt. Ein Teil des Betrags von EUR 3 Mio. sei an H., ein anderer Teil über eine von diesem beherrschte Gesellschaft und der Rest in bar ausbezahlt worden. Der gesamte Betrag sei schliesslich in den Jahren 2010-2011 auf das von H. beherrschte Konto der Beschwerdeführerin geflossen. G. habe im Rahmen der Strafuntersuchung fünf Kontoauszüge eingereicht, aus denen hervorgehe, dass die Firma I. Ltd. in Liechtenstein der Beschwerdeführerin auf ihr Konto Nr. 2 bei der Bank F. in den Jahren 2010 und 2011 insgesamt EUR 2.68 Mio. überwiesen habe.</w:t>
      </w:r>
    </w:p>
    <w:p>
      <w:r>
        <w:rPr>
          <w:b/>
        </w:rPr>
        <w:t>E. 4.5</w:t>
      </w:r>
    </w:p>
    <w:p>
      <w:r>
        <w:t>Aktive Bestechung im Sinne von Art. 322ter StGB begeht, wer einem Mitglied einer richterlichen oder anderen Behörde, einem Beamten, einem amtlich bestellten Sachverständigen, Übersetzer oder Dolmetscher, einem Schieds- richter oder einem Angehörigen der Armee im Zusammenhang mit dessen amtlicher Tätigkeit für eine pflichtwidrige oder eine im Ermessen stehende Handlung oder Unterlassung zu dessen Gunsten oder zu Gunsten eines Drit- ten einen nicht gebührenden Vorteil anbietet, verspricht oder gewährt. Dem- gegenüber bildet die passive Bestechung im Sinne von Art. 322quater StGB das Gegenstück zu Art. 322ter StGB und bezieht sich auf den Amtsträger, der einen nicht gebührenden Vorteil annimmt, sich versprechen lässt oder for- dert.</w:t>
      </w:r>
    </w:p>
    <w:p>
      <w:r>
        <w:t>Der Sachverhaltsdarstellung im rumänischen Rechtshilfeersuchen ist zu- nächst zu entnehmen, gegen wen sich das rumänische Strafverfahren rich- tet, wie die Beschuldigten vorgegangen sein sollen, in welchem Zeitraum und welche Delikte den Beschuldigten vorgeworfen werden: aktive und passive Bestechung (Art. 322ter und 322quater StGB) und Geldwäscherei (Art. 305bis StGB). Im Rechtshilfeersuchen wird allerdings weder die Funktion von B. noch diejenige von C. beschrieben. Den Ausführungen in der Schlussverfü- gung zufolge sei B. zum Tatzeitpunkt Mitglied der rumänischen Regierung gewesen, was gemäss Beschwerdegegnerin notorisch sei (vgl. act. 1.2 I. Ziff. 1). Auch die Beschwerdeführerin scheint diese Tatsache als bekannt vorauszusetzen. Eine einfache Internet-Recherche ergibt denn auch, dass B. zum Tatzeitpunkt die Funktion einer rumänischen Ministerin inne hatte und C. ihr damaliger Ehemann war (vgl. https://[…]). Vor diesem Hintergrund kann diese Lücke in der Sachverhaltsdarstellung aus öffentlichen Quellen auf einfache Weise gefüllt werden. Somit schadet es in concreto nicht, dass im Rechtshilfeersuchen keine Ausführungen zur Funktion von B. und C. ge- macht werden. Die Sachverhaltsdarstellung enthält somit keine offensichtli- chen Fehler, Lücken oder Widersprüche welche eine Überprüfung der Straf- barkeit verunmöglichen würden.</w:t>
      </w:r>
    </w:p>
    <w:p>
      <w:r>
        <w:t>Der Beschwerdeführerin ist insofern zuzustimmen, als sich das Verhalten von C. nicht unter den Tatbestand der passiven Bestechung subsumieren lässt, da dieser als Privatperson gehandelt haben soll. Allerdings machen sich im Falle einer Drei- oder Mehrparteienbeziehung, da zwischen dem Amtsträger und dem Bestechenden eine Privatperson als Vermittler fungiert, der Bestechende und der Vermittler je der aktiven Bestechung strafbar, wenn der Amtsträger in die Bestechungsabrede eintritt und diese akzeptiert (vgl. BBl 2004 6983, 7014; BBl 2014 3591, 3604 f.; Erläuternder Bericht über die Änderung des Strafgesetzbuchs und des Militärstrafgesetzes [Korrupti- onsstrafrecht] vom 15. Mai 2013, S.13 f.). Genau von einer solchen Konstel- lation ist vorliegend prima facie auszugehen: gemäss den Ausführungen im Rechtshilfeersuchen soll B. unter Zwischenschaltung von C. die Beste- chungszahlungen verlangt haben. Der Umstand, dass B. und C. verheiratet waren, spricht – entgegen der Ansicht der Beschwerdeführerin – nicht gegen eine solche Bestechungsabrede. Im Gegenteil: darf doch gerade in Fällen, da der Vermittler der Ehepartner des Amtsträgers ist, davon ausgegangen werden, diese hätten sich mit Bezug auf die Bestechung abgesprochen.</w:t>
      </w:r>
    </w:p>
    <w:p>
      <w:r>
        <w:t>Der Sachverhalt lässt sich damit ohne Weiteres unter die Tatbestände der aktiven und passiven Bestechung im Sinne von Art. 322ter und 322quater StGB subsumieren. Ob sich daneben der Sachverhalt unter den Tatbestand der Geldwäscherei im Sinne von Art. 305bis StGB subsumieren lässt, muss nicht weiter geprüft werden.</w:t>
      </w:r>
    </w:p>
    <w:p>
      <w:r>
        <w:rPr>
          <w:b/>
        </w:rPr>
        <w:t>E. 5.1</w:t>
      </w:r>
    </w:p>
    <w:p>
      <w:r>
        <w:t>Die Beschwerdeführerin rügt schliesslich eine Verletzung des Verhältnis- mässigkeitsprinzips. Ihrer Ansicht nach seien die herauszugebenden Bank- unterlagen für das laufende Strafverfahren in Rumänien beweisuntauglich. Die Umstände des Geldflusses von I. Ltd. an C. seien den rumänischen Strafverfolgungsbehörden bereits bekannt. Es sei daher nicht nachvollzieh- bar, inwieweit die Herausgabe der Bankunterlagen an die rumänischen Be- hörden die Strafverfolgung der Beschuldigten erleichtern würde. Auf jeden Fall sei die Herausgabe jedoch in zeitlicher Hinsicht einzuschränken, auf den Zeitraum nach der ersten Überweisung von der I. Ltd. an die Beschwerde- führerin am 25. November 2010 (act. 1 S. 4 f.).</w:t>
      </w:r>
    </w:p>
    <w:p>
      <w:r>
        <w:rPr>
          <w:b/>
        </w:rPr>
        <w:t>E. 5.2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w:t>
      </w:r>
    </w:p>
    <w:p>
      <w:r>
        <w:t>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Die Beschwerdegegnerin hat bereits im Rahmen der angefochtenen Schlussverfügung mit Hinweis auf in den Bankunterlagen selber enthaltene Buchungsvorgänge überzeugend dargelegt, es bestehe der Verdacht, dass die verschiedenen Geschäftsbeziehungen einen objektiven Zusammenhang mit den zu untersuchenden Straftaten hätten (vgl. Schlussverfügung Ziff. 4 und 5). Darauf kann ohne Weiteres verwiesen werden. Die Beschwerdegeg- nerin hat insbesondere für den Zeitraum vom 25. November 2010 bis 18. November 2011 zahlreiche Zahlungen von der I. Ltd. auf das Konto der Beschwerdeführerin im Umfang von insgesamt EUR 3.08 Mio. feststellen können. Als Zahlungsgrund seien „Service Agreements“ angegeben worden, gemäss denen sich die Beschwerdeführerin verpflichtet habe, Leistungen in der IT- und Telekombranche sowie im Bereich Sport, Fitness und Freizeit zu erbringen. Gemäss dem gegenwärtigen Ermittlungsstand könne nicht aus- geschlossen werden, dass dieser Betrag dem von E. Srl geleisteten Schmiergeld an B. entspreche (vgl. act. 1.2 II Ziff. 4 und 5). Ziel des Rechts- hilfeersuchens ist die Ermittlung der Geldflüsse und der wirtschaftlich Be- rechtigten an den fraglichen Vermögenswerten. Vor diesem Hintergrund sind die Kontounterlagen der Beschwerdeführerin potentiell geeignet, mögliche Geldflüsse im Zusammenhang mit dem im Rechtshilfeersuchen geschilder- ten Sachverhalt aufzudecken. Dabei ist die potentielle Erheblichkeit mit Be- zug auf sämtliche das Konto der Beschwerdeführerin betreffenden Unterla- gen zu bejahen, und zwar für den ganzen Deliktszeitraum, d.h. von Anfang 2010 bis Ende 2011. Es entspricht der Rechtsprechung, dass die Behörden des ersuchenden Staates grundsätzlich alle sichergestellten Aktenstücke zu übermitteln haben, welche sich auf den im Ersuchen dargelegten Verdacht beziehen können. Dies gilt gerade dann, wenn das Rechtshilfeersuchen wie vorliegend, auf die Ermittlung abzielt, auf welchem Weg Geldmittel mutmass- lich strafbarer Herkunft verschoben wurden. Von einer unzulässigen Beweis- ausforschung kann keine Rede sein. Daran ändert auch der Umstand nichts, dass die ersuchende Behörde bereits mit einem früheren Rechtshilfeersu-</w:t>
      </w:r>
    </w:p>
    <w:p>
      <w:r>
        <w:t>chen ein anderes Strafverfahren betreffend die Herausgabe derselben Bank- unterlagen verlangt und dass gegen die entsprechende Schlussverfügung der Beschwerdegegnerin die Beschwerdeführerin erfolgreich Beschwerde erhoben hat (vgl. Entscheid RR.2018.130 vom 19. Juni 2018). So ist es nicht ausgeschlossen, dass die gleichen Bankunterlagen in verschiedenen Straf- verfahren potentiell erheblich sein können. Ob schliesslich die von der I. Ltd. auf das Konto der Beschwerdeführerin überwiesenen Beträge tatsächlich nicht deliktischer Herkunft sind – wie von der Beschwerdeführerin behauptet – ist nicht vom Rechtshilferichter zu prüfen. Diese Frage wird Gegenstand im rumänischen Strafverfahren sein. Im Übrigen handelt es sich hierbei um eine im Rechtshilfeverfahren ohnehin unzulässige Gegendarstellung (vgl. BGE 132 II 81 E. 2.1). Eine Verletzung des Verhältnismässigkeitsprin- zips ist damit nicht auszumachen.</w:t>
      </w:r>
    </w:p>
    <w:p>
      <w:r>
        <w:t>Die Beschwerde ist insgesamt unbegründet und daher abzuweisen, soweit darauf einzutreten ist.</w:t>
      </w:r>
    </w:p>
    <w:p>
      <w:r>
        <w:rPr>
          <w:b/>
        </w:rPr>
        <w:t>E. 6</w:t>
      </w:r>
    </w:p>
    <w:p>
      <w:r>
        <w:t>Bei diesem Ausgang des Verfahrens sind die Gerichtskosten der Beschwer- deführerin aufzuerlegen (Art. 63 Abs. 1 VwVG). Die Gerichtsgebühr ist auf Fr. 4'000.-- festzusetzen (Art. 63 Abs. 5 VwVG i.V.m. Art. 73 StBOG sowie Art. 5 und 8 Abs. 3 lit. a BStKR), unter Anrechnung des geleisteten Kosten- vorschusses in derselben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