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RR.2018.272 vom 10. Januar 2019</w:t>
      </w:r>
    </w:p>
    <w:p>
      <w:r>
        <w:t>Bundesstrafgericht, 2019-01-10, IT</w:t>
      </w:r>
    </w:p>
    <w:p>
      <w:r>
        <w:rPr>
          <w:b/>
        </w:rPr>
        <w:t xml:space="preserve">Quelle: </w:t>
      </w:r>
      <w:r>
        <w:t>https://mcp.opencaselaw.ch/entscheid/bstger_RR.2018.272</w:t>
      </w:r>
    </w:p>
    <w:p>
      <w:r>
        <w:t>FR: TPF RR.2018.272 du 10 janvier 2019</w:t>
      </w:r>
    </w:p>
    <w:p>
      <w:r>
        <w:t>IT: TPF RR.2018.272 del 10 gennaio 2019</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w:t>
      </w:r>
    </w:p>
    <w:p>
      <w:r>
        <w:t>- 4 -</w:t>
      </w:r>
    </w:p>
    <w:p>
      <w:r>
        <w:t>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Nella misura in cui la ricorrente è titolare delle relazioni bancarie n. 2 (già n. 1) e n. 3 presso la banca C., oggetto della decisione impugnata, la legittimazione a ricor- rere è data. Questa fa invece difetto per quanto concerne le relazioni n. 4 (già n. 5), intestata a D. S.p.A. Mandato n. 4, e n. 6, intestata a E. Limited, dato che la ricorrente risulta essere solo avente diritto economico delle stesse (v. art. 80h lett. b AIMP e art. 9a lett. a OAIMP nonché DTF 137 IV 134 consid. 5.2.1; 130 II 162 consid. 1.1; 128 II 211 consid. 2.3; TPF 2007 79 consid. 1.6 pag. 82).</w:t>
      </w:r>
    </w:p>
    <w:p>
      <w:r>
        <w:t>Il ricorso è dunque ricevibile in questi termini.</w:t>
      </w:r>
    </w:p>
    <w:p>
      <w:r>
        <w:rPr>
          <w:b/>
        </w:rPr>
        <w:t>E. 2</w:t>
      </w:r>
    </w:p>
    <w:p>
      <w:r>
        <w:t>La ricorrente censura innanzitutto la violazione del suo diritto di essere sentita, nella misura in cui la procedura rogatoriale sarebbe stata evasa dal MP-TI senza la possibilità per lei di esprimersi né su un'eventuale esecuzione sempli- ficata né sui documenti oggetto della trasmissione.</w:t>
      </w:r>
    </w:p>
    <w:p>
      <w:r>
        <w:rPr>
          <w:b/>
        </w:rPr>
        <w:t>E. 2.1</w:t>
      </w:r>
    </w:p>
    <w:p>
      <w:r>
        <w:t>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w:t>
      </w:r>
    </w:p>
    <w:p>
      <w:r>
        <w:t>- 5 -</w:t>
      </w:r>
    </w:p>
    <w:p>
      <w:r>
        <w:t>argomenti che secondo loro si opporrebbero alla consegna. Questo affinché esse possano esercitare in maniera concreta ed effettiva il loro diritto di essere sentiti (v. art. 30 cpv. 1 PA), secondo modalità di collaborazione comunque ri- spettose del principio della buona fede (art. 5 cpv. 3 Cost.; KRAUSKOPF/EMMEN- EGGER/BA-BEY, in: Waldmann/Weissenberger, Praxiskommentar VwVG, 2° ediz. 2016, n. 54 ad art. 12 PA). La cernita deve aver luogo anche qualora l'interessato rinunci ad esprimersi (DTF 130 II 14 consid. 4.3 e 4.4; 126 II 258 consid. 9b/aa pag. 262; cfr. anche DTF 127 II 151 consid. 4c/aa; ZIMMERMANN, La coopération judiciaire internationale en matière pénale, 4a ediz. 2014, n. 484, 723-724; DE PREUX, L'entraide internationale en matière pénale et la lutte contre le blanchiment d'argent, in SJZ 104/2008 n. 2 pag. 34). Il diritto di essere sentito, ancorato all’art. 29 cpv. 2 Cost., viene concretizzato nell’ambito dell’assistenza giudiziaria internazionale agli art. 29 e PA richiamati all’art. 12 cpv. 1 AIMP (ZIMMERMANN, op. cit.,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 tomaticamente l’accoglimento del gravame e l’annullamento della decisione im- pugnata. Secondo la giurisprudenza e la dottrina una violazione del diritto di essere sentito può essere sanata, se la persona toccata ottiene la possibilità di esprimersi in merito davanti ad una autorità di ricorso, la quale, come nella fat- 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rPr>
          <w:b/>
        </w:rPr>
        <w:t>E. 2.2</w:t>
      </w:r>
    </w:p>
    <w:p>
      <w:r>
        <w:t>Nella fattispecie, occorre innanzitutto precisare che l'autorità d'esecuzione non è obbligata a notificare le proprie decisioni all'estero (v. art. 80m AIMP; art. 9 OAIMP; sentenza del Tribunale federale 1A.221/2002 del 25 novembre 2002 consid. 2.6). La decisione di entrata in materia dell'8 agosto 2018 (v. act. 1.4) e la decisione di chiusura del 27 agosto 2018 (act. 1.2) sono state correttamente notificate alla banca presso cui erano site le relazioni intestate alla ricorrente (v. DTF 136 IV 16 consid. 2.2).</w:t>
      </w:r>
    </w:p>
    <w:p>
      <w:r>
        <w:t>In pratica, tra le due decisioni sono trascorsi 19 giorni. Si tratta certo di un termine abbastanza breve, ma comunque rispondente agli obblighi di celerità giusta l'art. 17a AIMP e non tale da rendere impossibile una partecipazione da parte della ricorrente alla procedura di assistenza (v. sentenze del Tribu- nale penale federale RR.2014.243 del 2 dicembre 2014 consid. 3.2; RR.2012.91-92 del 18 luglio 2012 consid. 2.2). Il fatto che, nel caso concreto, al momento dell'emanazione della decisione di chiusura la ricorrente non</w:t>
      </w:r>
    </w:p>
    <w:p>
      <w:r>
        <w:t>- 6 -</w:t>
      </w:r>
    </w:p>
    <w:p>
      <w:r>
        <w:t>fosse ancora informata dell'esistenza di richieste di misure di assistenza, né abbia avuto completo accesso agli atti e facoltà di esprimersi durante la pro- cedura di esecuzione della commissione rogatoria in esame, non può invali- dare l'operato dell'autorità elvetica, la quale poteva in buona fede contare in una comunicazione immediata da parte della banca al suo cliente. In ogni caso, nell'ambito della presente procedura di ricorso, dinanzi ad un'autorità dotata di un pieno potere cognitivo in fatto e in diritto, l'insorgente ha potuto consultare gli atti bancari e, in sede di replica, ha avuto la possibilità di espri- mersi compiutamente sui medesimi. Pertanto, un'eventuale violazione del predetto diritto sarebbe stata comunque sanata dal presente procedimento (v. DTF 124 II 132 consid. 2d). Tanto più che la ricorrente, nei suoi memoriali, si limita ad esprimersi in maniera generica su tale questione, non spiegando per quale motivo l'asserito vizio non avrebbe potuto essere sanato, in via comunque straordinaria, nel quadro della presente procedura di ricorso (v. sentenze del Tribunale federale 1C_486/2008 dell'11 novembre 2008 consid. 2.2 e 2.3; 1A.160/2003 del 10 settembre 2003 consid. 2.1, 2.2 e 2.3). La censura va pertanto respinta.</w:t>
      </w:r>
    </w:p>
    <w:p>
      <w:r>
        <w:rPr>
          <w:b/>
        </w:rPr>
        <w:t>E. 3</w:t>
      </w:r>
    </w:p>
    <w:p>
      <w:r>
        <w:t>L'insorgente sostiene che secondo il diritto svizzero la presentazione all'estero di una dichiarazione fiscale incompleta, come sarebbe stata quella utilizzata per la "voluntary disclosure", non costituirebbe reato fiscale (qualificato) pregresso al riciclaggio, per cui non sarebbe rispettato il principio della doppia punibilità.</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w:t>
      </w:r>
    </w:p>
    <w:p>
      <w:r>
        <w:t>- 7 -</w:t>
      </w:r>
    </w:p>
    <w:p>
      <w:r>
        <w:t>slazioni toccate, dalla medesima qualificazione giuridica (DTF 124 II 184 con- sid. 4b/cc pag. 188). Diversamente dall'ambito estradizionale, le misure di coo- perazione sono già ammesse se la condizione della doppia punibilità è osse- quiata alla luce di una singola fattispecie (sentenza del Tribunale federale 1C_138/2007 del 17 luglio 2007 consid. 2.3 e rinvii).</w:t>
      </w:r>
    </w:p>
    <w:p>
      <w:r>
        <w:rPr>
          <w:b/>
        </w:rPr>
        <w:t>E. 3.2</w:t>
      </w:r>
    </w:p>
    <w:p>
      <w:r>
        <w:t>Occorre rilevare che quando l'autorità estera inoltra alla Svizzera una domanda di assistenza nell'ambito di un'inchiesta per riciclaggio, come è anche il caso nella fattispecie, essa non deve necessariamente apportare la prova della com- missione di atti di riciclaggio o del reato presupposto; semplici elementi concreti di sospetto derivanti dall'insieme delle circostanze sono sufficienti dal punto di vista della doppia punibilità (v. sentenze del Tribunale penale federale RR.2012.139 del 7 febbraio 2013 consid. 3.5 e RR.2008.8 del 23 luglio 2008 consid. 2.2.2, con riferimenti; v. ugualmente ZIMMERMANN, op. cit., n. 602). Que- sto è segnatamente il caso in presenza di operazioni sprovviste di giustifica- zione apparente o di utilizzazione di numerose società ripartite in più Paesi (v. sentenza del Tribunale penale federale RR.2008.96-72 del 14 agosto 2008 consid. 3.3, con riferimenti). L'importanza delle somme oggetto di transazioni sospette costituisce ugualmente un indizio di riciclaggio. Tale interpretazione corrisponde alla nozione di assistenza "la più larga possibile" di cui agli art. 1 CEAG, 7 n. 1 e 8 CRic (v. DTF 129 II 97 consid. 3.2).</w:t>
      </w:r>
    </w:p>
    <w:p>
      <w:r>
        <w:rPr>
          <w:b/>
        </w:rPr>
        <w:t>E. 3.3</w:t>
      </w:r>
    </w:p>
    <w:p>
      <w:r>
        <w:t>In concreto, l'autorità di perseguimento penale estera sospetta che le disponi- bilità finanziarie depositate in Svizzera di pertinenza della ricorrente, oggetto della procedura italiana di "voluntary disclosure", costituiscano il provento di reati penali commessi dall'ex coniuge dell'indagata, F. (deceduto nel 2007), condannato con sentenza del Giudice per le Indagini preliminari di Milano (di- venuta irrevocabile il 23 marzo 2005) per reati patrimoniali e fiscali, tra i quali la bancarotta fraudolenta, il cui indebito profitto complessivamente realizzato am- monterebbe a oltre EUR 16 milioni (v. act. 1.3, pag. 3 e seg.; atto 6, allegato 1, incarto MP-TI). L'autorità rogata ritiene quindi che la ricorrente, oltre a fornire dati e notizie non rispondenti al vero nell'ambito della procedura di collabora- zione volontaria in questione, così violando l'art. 5-septies della legge 15 dicem- bre 2014, n. 186, abbia, con la richiesta di adesione a tale procedura, ostacolato l'identificazione della provenienza dei valori di origine criminale depositati sulle relazioni oggetto della decisione impugnata (v. act. 1.3, pag. 2).</w:t>
      </w:r>
    </w:p>
    <w:p>
      <w:r>
        <w:t>L'autorità italiana ha fornito diversi elementi che fondano il sospetto che i valori in questione siano di origine criminale. Innanzitutto, la ricorrente non avrebbe assolutamente giustificato la loro origine, in particolare non avrebbe sostanziato nessuna di quelle cause di non punibilità previste dalla legge istitutiva della "vo- luntary disclosure". Anzi, in un suo interrogatorio del 16 giugno 2018 dinanzi alle autorità penali italiane ella ha dichiarato che "cifre così considerevoli sono consapevole che non possano che derivare da fatti illeciti, e sicuramente sono</w:t>
      </w:r>
    </w:p>
    <w:p>
      <w:r>
        <w:t>- 8 -</w:t>
      </w:r>
    </w:p>
    <w:p>
      <w:r>
        <w:t>consapevole che non derivino da lavori di muratura a cottimo", precisato che il defunto marito era muratore (v. atto 6, allegato 3, pag. 6, atti MP-TI). Ella ha aggiunto che "però ho taciuto al commercialista che questi soldi li avevo ricevuti da mio marito soltanto perché il commercialista non me l'ha chiesto limitandosi a dirmi se – per quanto a mia conoscenza – potessero derivare da reati gravi quali sequestro di persona o mafia o se nei fatti che hanno originato questa somma di denaro fosse coinvolto qualche politico. A queste domande io dicevo al commercialista che, conoscendo mio marito, questa somma di sicuro non poteva derivare da quei tipi di reato. Ad ulteriore domanda del commercialista riferivo che l'unica titolare del rapporto bancario in Svizzera oggetto di voluntary ero io. Avevo il sospetto che le somme di denaro che mio marito mi faceva accreditare in Svizzera a seguito della sottoscrizione mia dei moduli bancari, derivasse comunque da reati economici commessi da mio marito" (ibidem). Inol- tre, da analisi relative alla sua situazione patrimoniale, la ricorrente avrebbe di- chiarato dal 1998 al 2010, ossia in dodici anni, un reddito imponibile comples- sivo di EUR 664'703.63, pari a un reddito medio annuo di circa EUR 66'000.–. Tali importi risultano decisamente incompatibili con i circa EUR 9 milioni indicati dalla ricorrente nell'ambito della propria procedura di "voluntary disclosure". L'autorità rogante evidenzia, infine, una telefonata intervenuta il 30 maggio 2018, nel corso della quale la ricorrente, riferendosi al marito defunto, afferma: "hanno provato la sua […] disonestà però il malloppo non l'hanno trovato". Nella stessa telefonata, a fronte della domanda posta dalla ricorrente al suo legale sull'opportunità di dichiarare che le disponibilità finanziarie in parola le avesse ricevute in eredità, il legale le ha detto: "ma no, diciamo che lei li ha avuti in regalo anni fa […] glieli ha regalati suo marito anni fa, basta" (v. act. 1.3, pag. 4 e seg.).</w:t>
      </w:r>
    </w:p>
    <w:p>
      <w:r>
        <w:t>Orbene, quanto precede permette di concludere che i fatti rimproverati alla ri- corrente in Italia possono certamente essere sussunti in Svizzera al reato di riciclaggio ai sensi dell'art. 305bis CP, precisato che i fatti commessi dal defunto marito costitutivi di uno dei reati a monte del riciclaggio, che hanno portato alla condanna del predetto per bancarotta fraudolenta (ex art. 216, 219 e 223 della legge fallimentare italiana, R.D. 267/42), possono essere sussunti nel nostro Paese ai reati di bancarotta fraudolenta giusta l'art. 163 CP oppure ai reati di amministrazione infedele ai sensi dell'art. 158 CP e/o di appropriazione indebita ex art. 138 CP (cfr. sentenze del Tribunale penale federale RR.2015.245+RR.2015.207 dell'8 dicembre 2015 consid. 2.3; RR.2015.95-97 del 4 settembre 2015 consid. 2.2). Ciò risulta sufficiente per respingere le cen- sure della ricorrente in questo ambito, senza che sia necessario chinarsi sugli altri reati contestati alla stessa in Italia.</w:t>
      </w:r>
    </w:p>
    <w:p>
      <w:r>
        <w:rPr>
          <w:b/>
        </w:rPr>
        <w:t>E. 4</w:t>
      </w:r>
    </w:p>
    <w:p>
      <w:r>
        <w:t>La ricorrente afferma che il reato di riciclaggio contestatole sarebbe prescritto sia secondo il diritto svizzero che italiano.</w:t>
      </w:r>
    </w:p>
    <w:p>
      <w:r>
        <w:t>- 9 -</w:t>
      </w:r>
    </w:p>
    <w:p>
      <w:r>
        <w:rPr>
          <w:b/>
        </w:rPr>
        <w:t>E. 4.1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4.2</w:t>
      </w:r>
    </w:p>
    <w:p>
      <w:r>
        <w:t>Nel caso concreto, la Confederazione Svizzera e l’Italia sono parti alla CEAG, convenzione che non menziona la prescrizione tra i motivi di esclusione della cooperazione. Ne deriva che, a ragione, le autorità elvetiche non hanno condi- zionato la concessione dell’assistenza all’esame dell’intervenuta prescrizione del reato alla base della domanda estera, tanto meno, come erroneamente po- stulato dalla ricorrente, sotto il profilo del diritto italiano (v. art. 5 cpv. 1 lett. c AIMP e contrario nonché la giurisprudenza citata in FIOLKA, Commentario basi- lese, n. 79 ad art. 5 AIMP). Anche questa censura dell’insorgente va pertanto respinta.</w:t>
      </w:r>
    </w:p>
    <w:p>
      <w:r>
        <w:rPr>
          <w:b/>
        </w:rPr>
        <w:t>E. 5</w:t>
      </w:r>
    </w:p>
    <w:p>
      <w:r>
        <w:t>L'insorgente sostiene che la decisione impugnata violerebbe il principio della proporzionalità, data l'assenza di una sufficiente relazione tra le misure di assi- stenza richieste e l'oggetto del procedimento penale estero. La contestata tra- smissione di documentazione violerebbe il divieto della fishing expedition. L'au- torità d'esecuzione, inviando documentazione non espressamente richiesta dall'autorità rogante, ossia relativa a relazioni bancarie non indicate in rogatoria, avrebbe agito ultra petita.</w:t>
      </w:r>
    </w:p>
    <w:p>
      <w:r>
        <w:rPr>
          <w:b/>
        </w:rPr>
        <w:t>E. 5.1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w:t>
      </w:r>
    </w:p>
    <w:p>
      <w:r>
        <w:t>- 10 -</w:t>
      </w:r>
    </w:p>
    <w:p>
      <w:r>
        <w:t>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In base alla giuri- sprudenza l'esame da parte delle autorità di esecuzione e del giudice dell’assi- 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tutte le condizioni per concedere l'assistenza siano comunque adempiute; si evita così che lo Stato estero sia costretto a presentare domande complementari (DTF 121 II 241 con- sid. 3; sentenza del Tribunale federale 1A.258/2006 del 16 febbraio 2007 con- sid. 2.3), creando il rischio di passaggi a vuoto in contrasto con l’obbligo di ce- lerità giusta l’art. 17a AIMP. Alle predette condizioni possono quindi essere tra- smessi delle informazioni e dei documenti non espressamente menzionati nella domanda di assistenza (TPF 2009 161 consid. 5.2; sentenze del Tribunale pe- nale federale RR.2010.39 del 28 aprile 2010 consid. 5.1, e RR.2010.8 del 16 aprile 2010 consid. 2.2) ed incombe alla persona toccata dalla misura dimo- strare in maniera chiara e precisa perché i documenti e le informazioni in que- stione vanno oltre il senso che si può ragionevolmente attribuire alla domanda rogatoriale, rispettivamente non presentano nessun interesse per la procedura estera.</w:t>
      </w:r>
    </w:p>
    <w:p>
      <w:r>
        <w:t>- 11 -</w:t>
      </w:r>
    </w:p>
    <w:p>
      <w:r>
        <w:rPr>
          <w:b/>
        </w:rPr>
        <w:t>E. 5.2</w:t>
      </w:r>
    </w:p>
    <w:p>
      <w:r>
        <w:t>Nella fattispecie, si ribadisce che la ricorrente è indagata in Italia per riciclaggio di denaro in relazione a valori depositati sulle sue relazioni bancarie in Svizzera che potrebbero essere il frutto di crimini commessi dal defunto marito già con- dannato. Alla luce di ciò, e richiamato quanto già evidenziato in precedenza (v. supra consid. 3.3), l'utilità potenziale della documentazione oggetto della de- cisione impugnata risulta evidente. Essendo la relazione n. 3 intestata alla ri- corrente, e viste le richieste contenute nella rogatoria (v. act. 1.3, pag. 5), non si può di certo affermare che l'autorità d'esecuzione abbia agito ultra petita. Nemmeno può essere dato seguito alla richiesta formulata in via subordinata di oscurare i riferimenti a persone fisiche e giuridiche contenuti nella documenta- zione litigiosa, dato che le stesse potrebbero risultare coinvolte negli atti di rici- claggio oggetto dell'inchiesta estera. L'autorità rogante deve dunque poter ana- lizzare tutte le operazioni intervenute sul conto della ricorrente.</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un'inammissibile fishing expedition.</w:t>
      </w:r>
    </w:p>
    <w:p>
      <w:r>
        <w:rPr>
          <w:b/>
        </w:rPr>
        <w:t>E. 6</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quest'ultima (DTF 130 II 329 consid. 3; sentenza del Tribunale federale 1C_513/2010 dell'11 marzo 2011 consid. 3.3).</w:t>
      </w:r>
    </w:p>
    <w:p>
      <w:r>
        <w:t>Ebbene, visto quanto esposto in precedenza (v. supra consid. 3.3 e 5.2), è senz'altro possibile concludere che esistono elementi sufficienti per confermare il sequestro della relazione n. 2 presso la banca C.. Potendo il denaro seque- strato (saldo al 10 agosto 2018: EUR 7'098'444.57) essere interamente legato ai reati contestati alla ricorrente – quest'ultima ha dichiarato che gli ingenti valori depositati in Svizzera ricevuti dall'ex marito non potrebbero che derivare da fatti illeciti (v. atto 6, allegato 3, pag. 6, incarto MP-TI) –, la misura va confermata nell'ottica di un’eventuale futura richiesta di confisca giusta l’art. 74a AIMP. Che l'integralità dei valori giacenti sul conto della ricorrente possa essere di origine criminale e quindi confiscabile è stato anche evidenziato dal Tribunale di Ber- gamo, Sezione del Giudice per le Indagini Preliminari e dell'Udienza Preliminare mediante decreto di sequestro del 3 agosto 2018 (v. atto 1, allegato 1, incarto MP-TI). Toccherà poi all'autorità estera accertare se il denaro in questione è effettivamente di origine illecita. In caso affermativo, esso potrebbe fare l'og- getto di una decisione di confisca o di restituzione all'avente diritto nello Stato</w:t>
      </w:r>
    </w:p>
    <w:p>
      <w:r>
        <w:t>- 12 -</w:t>
      </w:r>
    </w:p>
    <w:p>
      <w:r>
        <w:t>richiedente (v. art. 74a cpv. 1 e 2 AIMP e art. 13 e segg. CRic, nonché DTF 123 II 134 consid. 5c, 268 consid. 4, 595 consid. 3). In definitiva, il sequestro litigioso deve essere mantenuto di principio sino alla notifica di una decisione definitiva ed esecutiva dello Stato richiedente o fintanto che quest'ultimo non abbia co- municato che una tale decisione non può più essere pronunciata (art. 74a cpv. 3 AIMP e 33a OAIMP; TPF 2007 124 consid. 8 e rinvii; v. anche art. 11 e seg. CRic), ferma restando la necessità che la procedura all'estero avanzi (DTF 126 II 462 consid. 5e). La ricorrente non ha peraltro sostanziato nessun pregiudizio economico cagionato dal sequestro. Anche da questo punto di vista la misura in questione non presenta alcun elemento di sproporzionalità. Ne consegue che il sequestro va confermato e le relative censure respinte.</w:t>
      </w:r>
    </w:p>
    <w:p>
      <w:r>
        <w:rPr>
          <w:b/>
        </w:rPr>
        <w:t>E. 7</w:t>
      </w:r>
    </w:p>
    <w:p>
      <w:r>
        <w:t>In definitiva, la decisione impugnata va confermata e il gravame integralmente respinto.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7’000.–; essa è coperta dall'anticipo delle spese di pari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