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 vom 23. April 2018</w:t>
      </w:r>
    </w:p>
    <w:p>
      <w:r>
        <w:t>Bundesstrafgericht, 2018-04-23, FR</w:t>
      </w:r>
    </w:p>
    <w:p>
      <w:r>
        <w:rPr>
          <w:b/>
        </w:rPr>
        <w:t xml:space="preserve">Quelle: </w:t>
      </w:r>
      <w:r>
        <w:t>https://mcp.opencaselaw.ch/entscheid/bstger_RR.2018.27</w:t>
      </w:r>
    </w:p>
    <w:p>
      <w:r>
        <w:t>FR: TPF RR.2018.27 du 23 avril 2018</w:t>
      </w:r>
    </w:p>
    <w:p>
      <w:r>
        <w:t>IT: TPF RR.2018.27 del 23 aprile 2018</w:t>
      </w:r>
    </w:p>
    <w:p>
      <w:pPr>
        <w:pStyle w:val="Heading2"/>
      </w:pPr>
      <w:r>
        <w:t>Regeste</w:t>
      </w:r>
    </w:p>
    <w:p>
      <w:r>
        <w:t>Entraide judiciaire internationale en matière pénale à la Malaisie. Remise de moyens de preuve (art. 74 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la Malaisie, étant donné qu’aucun traité international ne régit les relations entre la Suisse et ledit Etat dans ce domaine.</w:t>
      </w:r>
    </w:p>
    <w:p>
      <w:r>
        <w:rPr>
          <w:b/>
        </w:rPr>
        <w:t>E. 1.2</w:t>
      </w:r>
    </w:p>
    <w:p>
      <w:r>
        <w:t>En vertu de l’art. 37 al. 2 let. a LOAP (RS.173.71), mis en relation avec les art. 25 al. 1 et 80e al. 1 EIMP ainsi que 19 al. 1 du règlement du 31 août 2010 sur l’organisation du Tribunal pénal fédéral (RORPF; RS 173.713.161), la Cour des plaintes de ce tribunal est compétente pour connaître des re- cours dirigés contre les décisions de clôture de la procédure d’entraide ren- dues par l’autorité fédérale ou cantonale d’exécution.</w:t>
      </w:r>
    </w:p>
    <w:p>
      <w:r>
        <w:rPr>
          <w:b/>
        </w:rPr>
        <w:t>E. 1.3.1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(cf. arrêts du Tribunal pénal fédéral RR.2008.190-207 du 26 février 2009 consid. 1; RR.2008.216 + RR.2008.225-230 du 20 novembre 2008 consid. 1.2; MO- SER/BEUSCH/KNEUBÜHLER, Prozessieren vor dem Bundesverwaltungsge- richt, 2e éd. 2013, §3.17, p. 144 s.).</w:t>
      </w:r>
    </w:p>
    <w:p>
      <w:r>
        <w:rPr>
          <w:b/>
        </w:rPr>
        <w:t>E. 1.3.2</w:t>
      </w:r>
    </w:p>
    <w:p>
      <w:r>
        <w:t>En l’espèce, il se justifie de joindre les causes enregistrées sous numéros RR.2018.27-28, RR.2018.94 et RR.2018.110-111, dès lors que celles-ci concernent le même complexe de faits et que les parties recourantes, repré- sentées par le même avocat, invoquent des arguments, respectivement</w:t>
      </w:r>
    </w:p>
    <w:p>
      <w:r>
        <w:t>- 4 -</w:t>
      </w:r>
    </w:p>
    <w:p>
      <w:r>
        <w:t>prennent des conclusions, quasiment identiques, sans faire valoir d’intérêts contradictoires qui commanderaient un prononcé séparé.</w:t>
      </w:r>
    </w:p>
    <w:p>
      <w:r>
        <w:rPr>
          <w:b/>
        </w:rPr>
        <w:t>E. 1.4</w:t>
      </w:r>
    </w:p>
    <w:p>
      <w:r>
        <w:t>Le délai de recours contre la décision de clôture est de 30 jours dès la com- munication écrite de celle-ci (art. 80k EIMP). Ledit délai a en l’espèce été respecté pour les trois recours.</w:t>
      </w:r>
    </w:p>
    <w:p>
      <w:r>
        <w:rPr>
          <w:b/>
        </w:rPr>
        <w:t>E. 1.5</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et 118 Ib 547 consid. 1d).</w:t>
      </w:r>
    </w:p>
    <w:p>
      <w:r>
        <w:t>En tant que titulaires des relations bancaires visées par les décisions que- rellées, les recourants ont qualité pour attaquer celles-ci.</w:t>
      </w:r>
    </w:p>
    <w:p>
      <w:r>
        <w:rPr>
          <w:b/>
        </w:rPr>
        <w:t>E. 1.6</w:t>
      </w:r>
    </w:p>
    <w:p>
      <w:r>
        <w:t>Compte tenu de ce qui précède, il convient d’entrer en matière sur le fond.</w:t>
      </w:r>
    </w:p>
    <w:p>
      <w:r>
        <w:rPr>
          <w:b/>
        </w:rPr>
        <w:t>E. 2</w:t>
      </w:r>
    </w:p>
    <w:p>
      <w:r>
        <w:t>Les recourants invoquent la prescription de l’action pénale (art. 97 CP), la- quelle s’opposerait à la recevabilité de la demande d’entraide en vertu de l’art. 5 al. 1 let. c EIMP.</w:t>
      </w:r>
    </w:p>
    <w:p>
      <w:r>
        <w:rPr>
          <w:b/>
        </w:rPr>
        <w:t>E. 2.1</w:t>
      </w:r>
    </w:p>
    <w:p>
      <w:r>
        <w:t>Selon la jurisprudence, seule a en principe la qualité pour invoquer la pres- cription la personne poursuivie dans l’Etat requérant (ATF 130 II 217 con- sid. 11.1 p. 234). Cela est vrai pour la prescription selon le droit de l’Etat requérant, car les règles y relatives sont destinées à la protection de la per- sonne poursuivie et sont du ressort exclusif des autorités de poursuite de ce dernier. L’art. 5 al. 1 let. c EIMP protège en revanche contre des mesures de contrainte ordonnées en Suisse après la survenance de la prescription ab- solue selon le droit suisse (ATF 126 II 462 consid. 4c p. 465). Il est donc logique que les personnes touchées par les mesures en question puissent en l’occurrence se prévaloir de cette disposition (v. ATF 137 IV 25 con- sid. 4.3; 136 IV 4 consid. 6.1; 126 II 462 consid. 4).</w:t>
      </w:r>
    </w:p>
    <w:p>
      <w:r>
        <w:rPr>
          <w:b/>
        </w:rPr>
        <w:t>E. 2.2</w:t>
      </w:r>
    </w:p>
    <w:p>
      <w:r>
        <w:t>Selon l’art. 5 al. 1 let. c EIMP, la demande d’entraide est irrecevable si son exécution implique des mesures de contrainte et que la prescription absolue empêche, en droit suisse, d’ouvrir une action pénale ou d’exécuter une sanc- tion. Cette disposition s’applique à tous les types d’entraide judiciaire, et donc également à une remise au sens de l’art. 74a EIMP, cette dernière – et les mesures de blocage qui la précèdent – constituant indubitablement une mesure de contrainte (ATF 126 II 462 consid. 5b p. 467/468). S’agissant d’une cause d’irrecevabilité, celle-ci doit être examinée au moment de la</w:t>
      </w:r>
    </w:p>
    <w:p>
      <w:r>
        <w:t>- 5 -</w:t>
      </w:r>
    </w:p>
    <w:p>
      <w:r>
        <w:t>réception de la demande d’entraide et de la décision d’entrée en matière (cf. art. 78 al. 2, art. 80 et 80a EIMP), et non au moment de la décision de clôture. Cela permet de favoriser l’entraide et d’éviter qu’une demande dé- clarée recevable dans un premier temps, ne devienne inadmissible par la suite en raison de la durée de la procédure d’entraide (ATF 126 II 462 con- sid. 4d p. 466; ATF 129 II 56 consid. 3 non publié).</w:t>
      </w:r>
    </w:p>
    <w:p>
      <w:r>
        <w:rPr>
          <w:b/>
        </w:rPr>
        <w:t>E. 2.3</w:t>
      </w:r>
    </w:p>
    <w:p>
      <w:r>
        <w:t>Les recourants soutiennent que les derniers versements susceptibles d’être pénalement répréhensibles seraient intervenus le 24 décembre 2002 con- cernant la relation bancaire n°1 ouverte auprès de la banque F., le 13 avril 2004 concernant la relation bancaire n°2 ouverte auprès de G. AG et le 29 mars 2007 concernant la relation bancaire n°3 ouverte auprès de G. AG. La prescription commençant à courir dès la réception du dernier versement (art. 98 CP), et le délai de prescription étant au moment des faits de 7 ans (art. 97 CP), la prescription serait intervenue selon le droit suisse fin 2009, respectivement en 2011 et en 2014; l’on aboutirait au même résultat si l’on prenait en compte le nouveau délai de prescription de dix ans, disposition entrée en vigueur le 1er janvier 2014 (act. 1, p. 3). Le MPC quant à lui retient que les paiements investigués sont susceptibles d’avoir été effectués non seulement pour obtenir l’attribution du marché, mais également pour favori- ser les arbitrages en faveur de l’entrepreneur; dès lors, l’activité criminelle est susceptible de s’être prolongée jusqu’en 2009 (act. 1.1, p. 4).</w:t>
      </w:r>
    </w:p>
    <w:p>
      <w:r>
        <w:rPr>
          <w:b/>
        </w:rPr>
        <w:t>E. 2.4</w:t>
      </w:r>
    </w:p>
    <w:p>
      <w:r>
        <w:t>Il ressort de la demande d’entraide des autorités malaisiennes que le projet de centrale électrique de Perlis s’est déroulé de 1998 à 2009 (dossier MPC, demande d’entraide, par. 4). Pour les besoins de son enquête, la MACC re- quiert la production de la documentation bancaire pour la période allant du 1er janvier 2000 au 31 décembre 2009 (document précité, par. 18.1/b(ii)). Comme l’a justement relevé le MPC, l’activité criminelle est susceptible de s’être poursuivie tout au long de l’exécution des travaux, et non seulement lors de l’adjudication du chantier. Il est dès lors probable que des versements corruptifs aient encore été effectuée fin 2009, ce que l’enquête malaisienne devra révéler. La prescription de l’action pénale étant, au moment des faits, de sept ans pour les infractions passibles d’une peine privative de liberté inférieure à 3 ans (art. 97 al. 1 let. c aCP), la décision d’entrée en matière du 22 mars 2016 a été rendue avant l’expiration de ce délai. Dans cette même décision, le MPC a en outre retenu que les faits exposés étaient susceptibles de remplir les éléments objectifs de l’infraction de gestion déloyale aggravée (art. 158 al. 1 CP), laquelle est passible d’une peine privative de liberté pou- vant aller jusqu’à cinq ans. Dans un tel cas, l’action pénale se prescrit par quinze ans (art. 97 al. 1 let. b aCP). Partant, la prescription n’était pas ac- quise lors de la décision d’entrée en matière, de sorte que ce grief doit être rejeté.</w:t>
      </w:r>
    </w:p>
    <w:p>
      <w:r>
        <w:t>- 6 -</w:t>
      </w:r>
    </w:p>
    <w:p>
      <w:r>
        <w:rPr>
          <w:b/>
        </w:rPr>
        <w:t>E. 3</w:t>
      </w:r>
    </w:p>
    <w:p>
      <w:r>
        <w:t>mai 2002 consid. 4.3; arrêt du Tribunal pénal fédéral RR.2013.301 du 22 mai 2014 consid. 6.2).</w:t>
      </w:r>
    </w:p>
    <w:p>
      <w:r>
        <w:rPr>
          <w:b/>
        </w:rPr>
        <w:t>E. 3.1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t>- 7 -</w:t>
      </w:r>
    </w:p>
    <w:p>
      <w:r>
        <w:rPr>
          <w:b/>
        </w:rPr>
        <w:t>E. 3.2</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 sid. 4.2; 1A.59/2005 du 26 avril 2005 consid. 6.3). Certes, il se peut égale- ment que les comptes litigieux n’aient pas servi à recevoir le produit d’infrac- tions pénales, ni à opérer des virements illicites ou à blanchir des fonds. L’autorité requérante n’en dispose pas moins d’un intérêt à pouvoir le vérifier elle-même, sur le vu d’une documentation complète (ATF 118 Ib 547 con- 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 ger et n’est pas compétente pour se prononcer sur la substance des chefs d’accusation formulés par les autorités de poursuite (v. ATF 132 II 81 con-</w:t>
      </w:r>
    </w:p>
    <w:p>
      <w:r>
        <w:t>- 8 -</w:t>
      </w:r>
    </w:p>
    <w:p>
      <w:r>
        <w:t>sid. 2.1; 122 II 373 consid. 1c p. 375; 112 Ib 215 consid. 5b; 109 Ib 60 con- sid. 5a p. 63 et renvois).</w:t>
      </w:r>
    </w:p>
    <w:p>
      <w:r>
        <w:rPr>
          <w:b/>
        </w:rPr>
        <w:t>E. 3.4</w:t>
      </w:r>
    </w:p>
    <w:p>
      <w:r>
        <w:t>En l’espèce, la relation bancaire objet de la décision attaquée est détenue notamment par A., lequel est expressément soupçonné de corruption par les autorités malaisiennes suite à l’attribution de marchés publics en faveur de E.. De plus, l’analyse par le MPC de dite relation lui a permis de vérifier que ce compte a été approvisionné par des versements directement traçables aux fonds versés par E.. Un mécanisme de versement en cascade aurait ainsi été mis en place afin d’éviter que B. et A. ne soient directement tra- çables lors des «primes de signature» (act. 1.1, p. 6). Les informations rela- tives à ces comptes (v. let. C) présentent manifestement un rapport suffisant avec l’enquête pénale étrangère, justifiant leur transmission aux autorités Malaisiennes conformément à la jurisprudence précitée (supra, consid. 3.3).</w:t>
      </w:r>
    </w:p>
    <w:p>
      <w:r>
        <w:rPr>
          <w:b/>
        </w:rPr>
        <w:t>E. 4</w:t>
      </w:r>
    </w:p>
    <w:p>
      <w:r>
        <w:t>Compte tenu de l’issue du litige, les recourants, qui succombent, supporte- ront solidairement les frais de la procédure sans pouvoir prétendre à des dépens (art. 63 al. 1 et 64 al. 1 de la PA, applicable par renvoi de l’art. 39 al. 2 let. b en lien avec l’art. 37 al. 2 let. a LAOP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9'000.--, montant couvert par les avances de frais déjà versées par les recourants. La caisse du Tribunal pénal fédéral restituera au conseil des recourants le solde par CHF 6'000.--.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