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RR.2018.264 vom 8. November 2018</w:t>
      </w:r>
    </w:p>
    <w:p>
      <w:r>
        <w:t>Bundesstrafgericht, 2018-11-08, FR</w:t>
      </w:r>
    </w:p>
    <w:p>
      <w:r>
        <w:rPr>
          <w:b/>
        </w:rPr>
        <w:t xml:space="preserve">Quelle: </w:t>
      </w:r>
      <w:r>
        <w:t>https://mcp.opencaselaw.ch/entscheid/bstger_RR.2018.264</w:t>
      </w:r>
    </w:p>
    <w:p>
      <w:r>
        <w:t>FR: TPF RR.2018.264 du 8 novembre 2018</w:t>
      </w:r>
    </w:p>
    <w:p>
      <w:r>
        <w:t>IT: TPF RR.2018.264 del 8 novembre 2018</w:t>
      </w:r>
    </w:p>
    <w:p>
      <w:pPr>
        <w:pStyle w:val="Heading2"/>
      </w:pPr>
      <w:r>
        <w:t>Regeste</w:t>
      </w:r>
    </w:p>
    <w:p>
      <w:r>
        <w:t>Entraide judiciaire internationale en matière pénale à l'Inde. Remise de moyens de preuve (art. 74 EIMP); saisie conservatoire (art. 33a OEIMP).</w:t>
      </w:r>
    </w:p>
    <w:p>
      <w:pPr>
        <w:pStyle w:val="Heading2"/>
      </w:pPr>
      <w:r>
        <w:t>Erwägungen</w:t>
      </w:r>
    </w:p>
    <w:p>
      <w:r>
        <w:rPr>
          <w:b/>
        </w:rPr>
        <w:t>E. 1.1</w:t>
      </w:r>
    </w:p>
    <w:p>
      <w:r>
        <w:t>L'entraide judiciaire entre l'Inde et la Confédération suisse est prioritairement régie par l'Echange de lettres du 20 février 1989 entre la Suisse et l'Inde concernant l'entraide judiciaire en matière pénale (RS 0.351.942.3), entré en vigueur le 20 février 1989 (cf. ATF 122 II 140, consid. 2).</w:t>
      </w:r>
    </w:p>
    <w:p>
      <w:r>
        <w:t>Les dispositions de ce traité l’emportent sur le droit autonome qui régit la matière, soit la loi fédérale du 20 mars 1981 sur l’entraide internationale en</w:t>
      </w:r>
    </w:p>
    <w:p>
      <w:r>
        <w:t>- 4 -</w:t>
      </w:r>
    </w:p>
    <w:p>
      <w:r>
        <w:t>matière pénale (EIMP; RS 351.1) et son ordonnance d’exécution (OEIMP; RS 351.11). Le droit interne reste toutefois applicable aux questions non ré- glées, explicitement ou implicitement, par le traité et lorsqu’il est plus favo- rable à l’entraide (ATF 142 IV 250 consid. 3; 140 IV 123 consid. 2; 137 IV 33 consid. 2.2.2; 136 IV 82 consid. 3.1; arrêt du Tribunal pénal fédéral RR.2010.9 du 15 avril 2010 consid. 1.3), ce qui est valable aussi dans le rapport entre elles des normes internationales (v. art. 48 ch. 2 CAAS et 39 ch. 2 CBl). L’application de la norme la plus favorable doit avoir lieu dans le respect des droits fondamentaux (ATF 135 IV 212 consid. 2.3; 123 II 595 consid. 7c).</w:t>
      </w:r>
    </w:p>
    <w:p>
      <w:r>
        <w:rPr>
          <w:b/>
        </w:rPr>
        <w:t>E. 1.2</w:t>
      </w:r>
    </w:p>
    <w:p>
      <w:r>
        <w:t>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EIMP, mis en relation avec les art. 37 al. 2 let. a ch. 1 de la loi fédérale du 19 mars 2010 sur l’organisation des autorités pénales de la Confédération [LOAP; RS 173.71]).</w:t>
      </w:r>
    </w:p>
    <w:p>
      <w:r>
        <w:rPr>
          <w:b/>
        </w:rPr>
        <w:t>E. 1.3</w:t>
      </w:r>
    </w:p>
    <w:p>
      <w:r>
        <w:t>Le délai de recours contre la décision de clôture est de 30 jours dès la com- munication écrite de celle-ci (art. 80k EIMP). Déposé à un bureau de poste suisse le lundi 17 septembre 2018, le recours, interjeté contre des actes no- tifiés le 16 août précédent, est intervenu en temps utile.</w:t>
      </w:r>
    </w:p>
    <w:p>
      <w:r>
        <w:rPr>
          <w:b/>
        </w:rPr>
        <w:t>E. 1.4</w:t>
      </w:r>
    </w:p>
    <w:p>
      <w:r>
        <w:t>Aux termes de l’art. 80h let. b EIMP, a qualité pour recourir en matière d’en- traide quiconque est personnellement et directement touché par une mesure d’entraide et a un intérêt digne de protection à ce qu’elle soit annulée ou modifiée. Précisant cette disposition, l’art. 9a let. a OEIMP reconnaît au titu- laire d’un compte bancaire la qualité pour recourir contre la remise à l’Etat requérant d’informations relatives à ce compte (v. ATF 137 IV 134 consid. 5; 118 Ib 547 consid. 1d).</w:t>
      </w:r>
    </w:p>
    <w:p>
      <w:r>
        <w:t>Le recourant est titulaire des comptes dont la transmission de la documen- tation a été ordonnée dans les actes attaqués, de sorte qu'il est habilité à contester ceux-ci.</w:t>
      </w:r>
    </w:p>
    <w:p>
      <w:r>
        <w:rPr>
          <w:b/>
        </w:rPr>
        <w:t>E. 1.5</w:t>
      </w:r>
    </w:p>
    <w:p>
      <w:r>
        <w:t>Au vu de ce qui précède, il y a lieu d'entrer en matière sur le recours.</w:t>
      </w:r>
    </w:p>
    <w:p>
      <w:r>
        <w:rPr>
          <w:b/>
        </w:rPr>
        <w:t>E. 2.1</w:t>
      </w:r>
    </w:p>
    <w:p>
      <w:r>
        <w:t>Le recourant dénonce tout d'abord une violation de l'art. 2 EIMP. La procé- dure pénale menée contre lui en Inde ne respecterait ni le principe de la</w:t>
      </w:r>
    </w:p>
    <w:p>
      <w:r>
        <w:t>- 5 -</w:t>
      </w:r>
    </w:p>
    <w:p>
      <w:r>
        <w:t>présomption d'innocence (art. 6 par. 2 CEDH et 14 par. 2 Pacte ONU II), ni son droit à être jugé par un tribunal indépendant et impartial (art. 6 par. 1 CEDH et art. 14 par. 1 Pacte ONU II).</w:t>
      </w:r>
    </w:p>
    <w:p>
      <w:r>
        <w:rPr>
          <w:b/>
        </w:rPr>
        <w:t>E. 2.2</w:t>
      </w:r>
    </w:p>
    <w:p>
      <w:r>
        <w:t>L’art. 2 EIMP a pour but d’éviter que la Suisse ne prête son concours à des procédures qui ne garantiraient pas à la personne poursuivie un standard de protection minimal correspondant à celui offert par le droit des Etats démo- cratiques ou qui heurteraient l’ordre public international (ATF 130 II 217 con- sid. 8.1; 129 II 268 consid. 6.1; 126 II 324 consid. 4a et les arrêts cités). Comme cela résulte du libellé de l’art. 2 EIMP, cette règle s’applique à toutes les formes de coopération internationale, y compris l’entraide (ATF 129 II 268 consid. 6.1; 125 II 356 consid. 8a; 123 II 595 consid. 5c; TPF 2010 56 consid. 6.3.2).</w:t>
      </w:r>
    </w:p>
    <w:p>
      <w:r>
        <w:rPr>
          <w:b/>
        </w:rPr>
        <w:t>E. 2.3</w:t>
      </w:r>
    </w:p>
    <w:p>
      <w:r>
        <w:t>Pour invoquer l’art. 2 EIMP, il faut démontrer être menacé dans les droits que cette disposition protège. Ainsi, lorsque l’Etat requérant demande l’en- traide judiciaire et notamment la remise de documents bancaires, peut invo- quer l’art. 2 EIMP l’accusé se trouvant sur le territoire de l’Etat requérant et qui peut démontrer être concrètement exposé au risque de mauvais traite- ment ou de violation de ses droits de procédure (ATF 130 II 217 consid. 8.2; 125 II 356 consid. 8b; arrêt du Tribunal pénal fédéral RR.2013.77 du 29 mai 2013 consid. 3.1).</w:t>
      </w:r>
    </w:p>
    <w:p>
      <w:r>
        <w:rPr>
          <w:b/>
        </w:rPr>
        <w:t>E. 2.4</w:t>
      </w:r>
    </w:p>
    <w:p>
      <w:r>
        <w:t>A la lecture du recours on apprend que le recourant, de nationalité indienne, réside à Londres depuis plusieurs années. Il ressort en effet des pièces pro- duites qu’il aurait été mis au bénéfice du statut de Non Resident Indien de- puis 1988 étant donné qu’il a quitté l’Inde depuis cette date (act. 1 et act.1.2). Cela étant, ne résidant pas en Inde, le grief du recourant ne serait pas rece- vable eu égard à la jurisprudence citée (cf. supra consid. 2.3). Le recourant prétend néanmoins faire l’objet d’une procédure d’extradition présentée par les autorités indiennes à l’Angleterre. La Cour de céans n’entrevoit aucun acte au dossier qui montrerait le dépôt d’une demande d’arrestation aux fins d’extradition ou une demande d’extradition du formée par l’Inde à l’Angle- terre. Quoi qu’il en soit, même en voulant le croire sur parole sur ce point, le recourant ne démontre pas qu’il serait sur le point d’être extradée à l’Inde et que dans ce pays il serait exposé à des traitements prohibés. Cependant, même en voulant admettre que le recourant se trouve dans l’attente d’une décision d’extradition présentée par les autorités indiennes à la Grande-Bre- tagne, c’est aux autorités de ce dernier Etat qu’il appartiendra, le cas échéant, de se prononcer et d’exiger des renseignements complets, voire des garanties particulières à l’Inde. Dans la mesure où l’Angleterre est un Etat tenu, tout comme la Suisse, au respect de la CEDH et du Pacte ONU II,</w:t>
      </w:r>
    </w:p>
    <w:p>
      <w:r>
        <w:t>- 6 -</w:t>
      </w:r>
    </w:p>
    <w:p>
      <w:r>
        <w:t>il n’y a pas lieu de douter que les questions soulevées par le recourant ne seront pas sérieusement examinées par les autorités britanniques (cf. arrêt du Tribunal fédéral 1C_324/2017 du 14 juin 2017 consid. 1.3, matis mutan- dis). Il s’en suit que dans la mesure où il est recevable ce grief est mal fondé.</w:t>
      </w:r>
    </w:p>
    <w:p>
      <w:r>
        <w:rPr>
          <w:b/>
        </w:rPr>
        <w:t>E. 3.1</w:t>
      </w:r>
    </w:p>
    <w:p>
      <w:r>
        <w:t>Dans une deuxième série de griefs qu'il convient de traiter ensemble vu la manière dont ils sont formulés, le recourant se plaint d'une violation du prin- cipe de la double incrimination et de son droit d'être entendu. Les faits décrits dans la demande d'entraide ne seraient pas de nature pénale mais relève- raient du droit civil, voire du droit fiscal. Sur ce dernier aspect, l'Administra- tion fédérale des finances (ci-après: AFC) aurait refusé à tort de lui octroyer l'accès au dossier ouvert à la suite du dépôt par l'Inde d'une demande d'en- traide administrative le concernant; aussi, dite Autorité l'aurait-elle, le cas échéant, empêché d'établir que le contenu des demandes d'entraide admi- nistrative et pénale est identique – et, partant, que l'Etat requérant contre- vient au principe de la bonne foi entre Etats en sollicitant de la Suisse la coopération judiciaire internationale en matière pénale.</w:t>
      </w:r>
    </w:p>
    <w:p>
      <w:r>
        <w:rPr>
          <w:b/>
        </w:rPr>
        <w:t>E. 3.2</w:t>
      </w:r>
    </w:p>
    <w:p>
      <w:r>
        <w:t>La condition de la double incrimination est satisfaite lorsque l’état de faits exposé dans la demande correspond, prima facie, aux éléments constitutifs objectifs d’une infraction réprimée par le droit suisse, à l’exclusion des con- ditions particulières en matière de culpabilité et de répression, et donnant lieu ordinairement à la coopération internationale (cf. art. 64 al. 1 EIMP cum art. 5 ch. 1 let. a CEEJ; ATF 124 II 184 consid. 4b; 122 II 422 consid. 2a; 118 Ib 448 consid. 3a; 117 Ib 337 consid. 4a). Le juge de l’entraide se fonde sur l’exposé des faits contenu dans la requête. L’autorité suisse saisie d’une requête n’a pas à se prononcer sur la réalité des faits. Elle ne s’écarte des faits décrits par l’autorité requérante qu’en cas d’erreurs, lacunes ou contra- dictions évidentes et immédiatement établies (ATF 107 Ib 264 consid. 3a; 1A.270/2006 du 13 mars 2007 consid. 2.1; arrêt du Tribunal pénal fédéral RR.2008.69 du 14 août 2008 consid. 3). Il n’est pas nécessaire que les faits incriminés revêtent, dans les deux législations concernées, la même qualifi- 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 tique ou fiscal (art. 2 let. a CEEJ). Contrairement à ce qui prévaut en matière</w:t>
      </w:r>
    </w:p>
    <w:p>
      <w:r>
        <w:t>- 7 -</w:t>
      </w:r>
    </w:p>
    <w:p>
      <w:r>
        <w:t>d’extradition, il n’est pas nécessaire, en matière de «petite entraide», que la condition de la double incrimination soit réalisée pour chacun des chefs à raison desquels les prévenus sont poursuivis dans l’Etat requérant (ATF 125 II 569 consid. 6; arrêts du Tribunal fédéral 1C_138/2007 du 17 juillet 2007 consid. 2.3.2; 1A.212/2001 du 21 mars 2002 consid. 7).</w:t>
      </w:r>
    </w:p>
    <w:p>
      <w:r>
        <w:rPr>
          <w:b/>
        </w:rPr>
        <w:t>E. 3.3</w:t>
      </w:r>
    </w:p>
    <w:p>
      <w:r>
        <w:t>L'Etat requérant a entre autres exposé que le recourant, respectivement B. Ltd, aurait dissimulé à un établissement bancaire la mauvaise situation financière de cette dernière société, afin d'obtenir de celui-ci un prêt. Les fonds ainsi obtenus auraient été utilisés à des fins différentes de celles pré- vues contractuellement et versés sur des comptes à l'étranger, sous couvert de redevances d'un leasing. Le prêt n'aurait, à dessein, jamais été rem- boursé ("[B. Ltd et le recourant ] willfully defaulted on the dues […]" [dossier du MP-GE, classeur "A.1.1", rubrique A., p. 4, pt 7 in fine]).</w:t>
      </w:r>
    </w:p>
    <w:p>
      <w:r>
        <w:rPr>
          <w:b/>
        </w:rPr>
        <w:t>E. 3.4</w:t>
      </w:r>
    </w:p>
    <w:p>
      <w:r>
        <w:t>Aux termes du premier alinéa de l'art. 146 CP (escroquerie), celui qui, dans le dessein de se procurer ou de procurer à un tiers un enrichissement illégi- 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L'escroquerie implique que l'erreur ait déterminé la dupe à disposer de son patrimoine. Il faut ainsi un acte de disposition effectué par la dupe et un lien de motivation entre cet acte et l'erreur. L'acte de disposition est constitué par tout acte ou omission qui entraîne "directement" un préjudice au patrimoine. L'exigence d'une telle immédiateté résulte de la définition même de l'escro- querie, qui implique notamment que le dommage soit causé par un acte de disposition du lésé lui-même (Selbstschädigung). Le préjudice est occa- sionné "directement" lorsqu'il est provoqué exclusivement par le comporte- ment de la dupe, sans qu'une intervention supplémentaire de l'auteur ne soit nécessaire (cf. ATF 128 IV 255 consid. 2e/aa).</w:t>
      </w:r>
    </w:p>
    <w:p>
      <w:r>
        <w:t>Dans le cadre d'une escroquerie au crédit, la tromperie de l'emprunteur à la conclusion du contrat porte sur sa capacité de remboursement, c'est-à-dire sur sa solvabilité, et ainsi sur la sécurité de la créance, respectivement sa volonté de rembourser. La condition du dommage est réalisée, et partant l'escroquerie accomplie, lorsque l'emprunteur, contrairement aux attentes qu'il suscite auprès du prêteur au moment de l'octroi du crédit, offre si peu de garantie pour un remboursement conforme au contrat que la créance ré-</w:t>
      </w:r>
    </w:p>
    <w:p>
      <w:r>
        <w:t>- 8 -</w:t>
      </w:r>
    </w:p>
    <w:p>
      <w:r>
        <w:t>sultant du prêt est mise en danger de manière significative et que, par con- séquent, sa valeur s'en trouve considérablement réduite (ATF 102 IV 84, consid. 4; arrêt du Tribunal fédéral 6B_910/2015 du 13 janvier 2015, con- sid. 2.2.1).</w:t>
      </w:r>
    </w:p>
    <w:p>
      <w:r>
        <w:rPr>
          <w:b/>
        </w:rPr>
        <w:t>E. 3.5</w:t>
      </w:r>
    </w:p>
    <w:p>
      <w:r>
        <w:t>L'autorité requérante a précisé qu'au moment de l'octroi du prêt, B. Ltd pré- sentait une valeur nette négative et que de fausses assurances avaient été fournies quant à l'apport à la société de USD 400 millions par un investisseur stratégique; elle a aussi fait état de chiffres largement surfaits (highly inflated figures) présentés à la banque s'agissant de la santé financière de cette so- ciété.</w:t>
      </w:r>
    </w:p>
    <w:p>
      <w:r>
        <w:t>Il s'ensuit que la banque, parfois également induite en erreur par ses propres employés qui auraient été soudoyés par A., aurait décidé de conclure le con- trat en cause – et donc de disposer de son patrimoine – sur la base de don- nées inexactes, qui lui auraient été fournies à dessein par l'emprunteur, pour faire accroire que ce dernier offrait des conditions de solvabilité suffisantes. Dès lors, les éléments constitutifs de l'escroquerie, tels qu'ils viennent d'être mentionnés – singulièrement le dommage – sont a priori remplis en l'espèce. C'est le lieu de relever, s'agissant de l'astuce, qu'il était certainement malaisé pour l'établissement prêteur de vérifier les éléments fournis par B. Ltd, sin- gulièrement quant aux véritables intentions de la personne présentée comme un investisseur stratégique cela d’autant moins qu’elle était induite en erreur tant par les fausses indications financières présenté par B. Ltd que par l’absence de contrôle dû à la corruption de certains préposés à la vérifi- cation de la solidité financière de B. Ltd au sein des établissements crédi- teurs. Partant, l'argumentation tirée de l'absence de double incrimination est mal fondée déjà eu égard à cette infraction. Il va de soi que même si l’en- traide peut être accordée en présence de la réalisation de la double incrimi- nation eu égard à une seule infraction (cf. ATF 125 II 569 consid. 6; in casu: l’escroquerie), il est certain que le fait de détourner des fonds de B. Ltd pour l’utilisation privée du recourant (CEO de B. Ltd) remplirait également les con- ditions objectives de la gestion déloyale. Sans oublier, par surabondance, le fait que transférer le produit d’un crime à l’étranger est également constitutif de blanchiment d’argent.</w:t>
      </w:r>
    </w:p>
    <w:p>
      <w:r>
        <w:rPr>
          <w:b/>
        </w:rPr>
        <w:t>E. 3.6</w:t>
      </w:r>
    </w:p>
    <w:p>
      <w:r>
        <w:t>Au vu de ce qui précède, on ne voit pas en quoi une éventuelle similarité, voire identité, entre le contenu des demandes d'entraide en matière admi- nistrative et en matière pénale déposées par les autorités indiennes au sujet du recourant pourrait constituer un abus de droit susceptible de justifier le refus de l'entraide telle qu'ordonnée par le MP-GE. En tout état de cause, le</w:t>
      </w:r>
    </w:p>
    <w:p>
      <w:r>
        <w:t>- 9 -</w:t>
      </w:r>
    </w:p>
    <w:p>
      <w:r>
        <w:t>recourant n'est pas habilité à invoquer dans la présente procédure une vio- lation du droit d'être entendu sous la forme d'un refus par l'AFC de lui accor- der l'accès au dossier concernant l'entraide administrative. En effet, il aurait appartenu le cas échéant à l'intéressé d'exiger que ladite Autorité rende une décision formelle sur ce point, puis d'attaquer celle-ci en utilisant les voies de droit ad hoc, mais cette question n’est pas pertinente dans la présente procédure dont le but est celui d’accorder l’entraide pénale et non pas l’en- traide administrative.</w:t>
      </w:r>
    </w:p>
    <w:p>
      <w:r>
        <w:rPr>
          <w:b/>
        </w:rPr>
        <w:t>E. 4.1</w:t>
      </w:r>
    </w:p>
    <w:p>
      <w:r>
        <w:t>Le recourant se plaint également d'une violation du principe de la proportion- nalité. Les autorités indiennes n'auraient pas requis la transmission de do- cumentation bancaire, mais uniquement la saisie d'avoirs, déposés sur quatre comptes clairement identifiés, dont celui no 3, ouvert auprès de la banque F.; les autres comptes objet des décisions entreprises ne seraient même pas mentionnés dans la commission rogatoire. L'entraide accordée l'aurait aussi été trop largement du point de vue temporel, puisque le compte n° 1 aurait été ouvert en 1985, alors que les faits investigués se seraient déroulés dans les années 2000 seulement. Enfin, il aurait déposé devant une autorité judiciaire indienne une proposition d'accord "visant à rembour- ser les créanciers" (act. 1, p. 46), de sorte que la documentation dont la re- mise à l'Etat requérant a été ordonnée ne présenterait plus aucune utilité pour celui-ci.</w:t>
      </w:r>
    </w:p>
    <w:p>
      <w:r>
        <w:rPr>
          <w:b/>
        </w:rPr>
        <w:t>E. 4.2.1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w:t>
      </w:r>
    </w:p>
    <w:p>
      <w:r>
        <w:t>- 10 -</w:t>
      </w:r>
    </w:p>
    <w:p>
      <w:r>
        <w:t>sid. 2.2). L’examen de l’autorité d’entraide est régi par le principe de l’«utilité potentielle»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4e éd. 2014, n° 723 s.).</w:t>
      </w:r>
    </w:p>
    <w:p>
      <w:r>
        <w:rPr>
          <w:b/>
        </w:rPr>
        <w:t>E. 4.2.2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4.2.3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w:t>
      </w:r>
    </w:p>
    <w:p>
      <w:r>
        <w:t>- 11 -</w:t>
      </w:r>
    </w:p>
    <w:p>
      <w:r>
        <w:t>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w:t>
      </w:r>
    </w:p>
    <w:p>
      <w:r>
        <w:rPr>
          <w:b/>
        </w:rPr>
        <w:t>E. 4.3</w:t>
      </w:r>
    </w:p>
    <w:p>
      <w:r>
        <w:t>Dans le cas d’espèce, le procureur a non seulement ordonné les mesures de blocage, mais aussi la saisie et la remise des documents bancaires, tan- dis qu’il ressort de la commission rogatoire que l’Etat requérant était avant tout intéressé par le blocage et la saisie des comptes dont pouvaient dispo- ser le recourant, ceci vraisemblablement en vue de la confiscation ultérieure des actifs, comme cela a en effet été relevé dans la requête (voir supra let. A). Il faut concéder au recourant que la commission rogatoire n’est pas très explicite s’agissant de la transmission de la documentation bancaire. Cependant, rien ne laisse à penser que celle-ci ait été exclue à dessein, bien au contraire puisque le but final de l’enquête indienne est celui de confisquer le butin. Il est donc évident que cette finalité sera d’autant plus facilement atteignable que si l’autorité pénale disposera de la documentation bancaire complète. En agissant de la sorte, l’autorité d’exécution s’est bel et bien te- nue au principe selon lequel elle doit interpréter la demande selon le sens que l’on peut raisonnablement lui donner dans le but notamment d’éviter le dépôt de demandes complémentaires. Il est de jurisprudence constante que la saisie de la documentation bancaire ainsi que sa remise peut être ordon- née quand bien même l’autorité requérante n’a demandé que la saisie des avoirs déposés sur lesdits comptes bancaires (arrêt du Tribunal fédéral 1A.303/2004 du 29 mars 2005 consid. 4.1), comme il est par ailleurs égale- ment possible pour l’autorité d’exécution, face à une demande de saisie de la documentation bancaire, d’ordonner également la saisie des avoirs dépo- sés sur lesdits comptes même si la saisie n’est pas expressément demandée (Tribunal pénal fédéral RR.2016.165+166+167 du 5 mai 2017consid. 5.4). Cette façon de procéder est d’autant plus légitime que, à l’instar du cas d’es- pèce, toutes les conditions pour accorder l’entraide sont données.</w:t>
      </w:r>
    </w:p>
    <w:p>
      <w:r>
        <w:rPr>
          <w:b/>
        </w:rPr>
        <w:t>E. 4.4</w:t>
      </w:r>
    </w:p>
    <w:p>
      <w:r>
        <w:t>Il s'ensuit que ni la transmission de documentation bancaire en l'absence de requête explicite en ce sens, ni le fait que les documents litigieux portent potentiellement, pour partie, sur une période précédant celle au cours de laquelle se seraient déroulés les faits investigués, ne constitue en soi une violation du principe de la proportionnalité. Par ailleurs, on ne voit pas en quoi l'accord avec "les créanciers" invoqué par le recourant serait en soi propre à mettre fin à la procédure pénale menée en Inde et l'intéressé ne le</w:t>
      </w:r>
    </w:p>
    <w:p>
      <w:r>
        <w:t>- 12 -</w:t>
      </w:r>
    </w:p>
    <w:p>
      <w:r>
        <w:t>précise pas. Le grief de violation du principe de la proportionnalité est ainsi mal fondé.</w:t>
      </w:r>
    </w:p>
    <w:p>
      <w:r>
        <w:t>5.</w:t>
      </w:r>
    </w:p>
    <w:p>
      <w:r>
        <w:t>5.1 Finalement, le recourant dénonce une violation de l'art. 28 EIMP (forme et contenu des demandes). Il argue que la commission rogatoire déposée en l'espèce par l'Etat requérant ne permet pas d'identifier clairement les actes qui lui sont reprochés et qu'aucun élément de preuve n'a été fourni à cet égard.</w:t>
      </w:r>
    </w:p>
    <w:p>
      <w:r>
        <w:t>5.2 Les exigences formelles posées par l'art. 28 EIMP ont pour but principal de déterminer si les faits dénoncés constituent une infraction donnant lieu à la coopération internationale (ATF 136 IV 4 consid. 4.1). Elles ont été respec- tées en l'espèce, dès lors que indications fournies par les autorités indiennes permettent comme on l'a vu d'analyser l'était de fait litigieux sous l'angle de la double incrimination (cf. supra, consid. 3.5).</w:t>
      </w:r>
    </w:p>
    <w:p>
      <w:r>
        <w:t>Pour le reste, le recourant perd de vue, avec son argumentation tirée d'une absence de moyens de preuve étayant l'état de fait figurant dans la de- mande, que l'autorité suisse saisie d'une demande d'entraide ne peut s’écar- ter des faits décrits par l’Etat requérant qu’en cas d’erreurs, lacunes ou con- tradictions évidentes et immédiatement établies (ATF 126 II 495 con- sid. 5e/aa; 118 Ib 111 consid. 5b) – hypothèse non réalisée dans le cas pré- sent.</w:t>
      </w:r>
    </w:p>
    <w:p>
      <w:r>
        <w:t>Le dernier grief soulevé est donc également mal fondé.</w:t>
      </w:r>
    </w:p>
    <w:p>
      <w:r>
        <w:t>6. On relèvera encore que les comptes bancaires dont la transmission a été ordonnée dans les décisions de clôture partielles attaquées ne comptent pas au nombre de ceux ayant fait l'objet d'un séquestre par le MP-GE (cf. clas- seur "B,C,D,F,G", rubrique "exécution"); partant, la conclusion tendant à la levée de saisies est d'emblée mal fondée.</w:t>
      </w:r>
    </w:p>
    <w:p>
      <w:r>
        <w:t>7. Il s'ensuit que le recours est mal fondé dans la mesure où il est recevable.</w:t>
      </w:r>
    </w:p>
    <w:p>
      <w:r>
        <w:t>8. Les frais de procédure, comprenant l’émolument d’arrêté, les émoluments de chancellerie et les débours, sont mis à la charge de la partie qui suc- combe (art. 63 al. 1 PA, applicable par renvoi de l’art. 39 al. 2 let. b LOAP).</w:t>
      </w:r>
    </w:p>
    <w:p>
      <w:r>
        <w:t>- 13 -</w:t>
      </w:r>
    </w:p>
    <w:p>
      <w:r>
        <w:t>Le montant de l’émolument est calculé en fonction de l’ampleur et de la dif- ficulté de la cause, de la façon de procéder des parties, de leur situation financière et des frais de chancellerie (art. 73 al. 2 LOAP). Le recourant sup- portera ainsi les frais du présent arrêt, fixés à CHF 5'000.-- (art. 73 al. 2 LOAP, art. 8 al. 3 du règlement du Tribunal pénal fédéral sur les frais, émo- luments, dépens et indemnités de la procédure pénale fédérale du 31 août 2010 [RFPPF; RS 173.713.162] et art. 63 al. 5 PA), entièrement couverts par l’avance de frais effectuée.</w:t>
      </w:r>
    </w:p>
    <w:p>
      <w:r>
        <w:t>- 14 -</w:t>
      </w:r>
    </w:p>
    <w:p>
      <w:r>
        <w:rPr>
          <w:b/>
        </w:rPr>
        <w:t>E. 9</w:t>
      </w:r>
    </w:p>
    <w:p>
      <w:r>
        <w:t>mai 2018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