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RR.2018.257 vom 15. November 2018</w:t>
      </w:r>
    </w:p>
    <w:p>
      <w:r>
        <w:t>Bundesstrafgericht, 2018-11-15, FR</w:t>
      </w:r>
    </w:p>
    <w:p>
      <w:r>
        <w:rPr>
          <w:b/>
        </w:rPr>
        <w:t xml:space="preserve">Quelle: </w:t>
      </w:r>
      <w:r>
        <w:t>https://mcp.opencaselaw.ch/entscheid/bstger_RR.2018.257</w:t>
      </w:r>
    </w:p>
    <w:p>
      <w:r>
        <w:t>FR: TPF RR.2018.257 du 15 novembre 2018</w:t>
      </w:r>
    </w:p>
    <w:p>
      <w:r>
        <w:t>IT: TPF RR.2018.257 del 15 novembre 2018</w:t>
      </w:r>
    </w:p>
    <w:p>
      <w:pPr>
        <w:pStyle w:val="Heading2"/>
      </w:pPr>
      <w:r>
        <w:t>Regeste</w:t>
      </w:r>
    </w:p>
    <w:p>
      <w:r>
        <w:t>Entraide judiciaire internationale en matière pénale à l'Inde. Remise de moyens de preuve (art. 74 EMP). Saisie conservatoire (art. 33a OEIMP).</w:t>
      </w:r>
    </w:p>
    <w:p>
      <w:pPr>
        <w:pStyle w:val="Heading2"/>
      </w:pPr>
      <w:r>
        <w:t>Erwägungen</w:t>
      </w:r>
    </w:p>
    <w:p>
      <w:r>
        <w:rPr>
          <w:b/>
        </w:rPr>
        <w:t>E. 1.1</w:t>
      </w:r>
    </w:p>
    <w:p>
      <w:r>
        <w:t>L'entraide judiciaire entre l'Inde et la Confédération suisse est prioritairement régie par l'Echange de lettres du 20 février 1989 entre la Suisse et l'Inde concernant l'entraide judiciaire en matière pénale (RS 0.351.942.3), entré en vigueur le 20 février 1989 (cf. ATF 122 II 140, consid. 2).</w:t>
      </w:r>
    </w:p>
    <w:p>
      <w:r>
        <w:t>Les dispositions de ce traité l’emportent sur le droit autonome qui régit la matière, soit la loi fédérale du 20 mars 1981 sur l’entraide internationale en matière pénale (EIMP; RS 351.1) et son ordonnance d’exécution (OEIMP; RS 351.11). Le droit interne reste toutefois applicable aux questions non ré- glées, explicitement ou implicitement, par le traité et lorsqu’il est plus favo- rable à l’entraide (ATF 142 IV 250 consid. 3; 140 IV 123 consid. 2; 137 IV 33 consid. 2.2.2; 136 IV 82 consid. 3.1; arrêt du Tribunal pénal fédéral RR.2010.9 du 15 avril 2010 consid. 1.3), ce qui est valable aussi dans le</w:t>
      </w:r>
    </w:p>
    <w:p>
      <w:r>
        <w:t>- 4 -</w:t>
      </w:r>
    </w:p>
    <w:p>
      <w:r>
        <w:t>rapport entre elles des normes internationales (v. art. 48 ch. 2 CAAS et 39 ch. 2 CBl).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les art. 37 al. 2 let. a ch. 1 de la loi fédérale du 19 mars 2010 sur l’organisation des autorités pénales de la Confédération [LOAP; RS 173.71]).</w:t>
      </w:r>
    </w:p>
    <w:p>
      <w:r>
        <w:rPr>
          <w:b/>
        </w:rPr>
        <w:t>E. 1.3</w:t>
      </w:r>
    </w:p>
    <w:p>
      <w:r>
        <w:t>Le délai de recours contre la décision de clôture est de 30 jours dès la com- munication écrite de celle-ci (art. 80k EIMP). Déposés à un bureau de poste suisse le lundi 17 septembre 2018, les recours, interjetés contre des actes notifiés le 16 août précédent, sont intervenus en temps utile.</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consid. 5; 118 Ib 547 consid. 1d).</w:t>
      </w:r>
    </w:p>
    <w:p>
      <w:r>
        <w:t>Les recourantes sont titulaires des comptes dont la transmission de la docu- mentation a été ordonnée dans les actes attaqués, de sorte qu'elles sont habilitées à contester ceux-ci.</w:t>
      </w:r>
    </w:p>
    <w:p>
      <w:r>
        <w:rPr>
          <w:b/>
        </w:rPr>
        <w:t>E. 1.5</w:t>
      </w:r>
    </w:p>
    <w:p>
      <w:r>
        <w:t>Au vu de ce qui précède, il y a lieu d'entrer en matière sur les recours.</w:t>
      </w:r>
    </w:p>
    <w:p>
      <w:r>
        <w:rPr>
          <w:b/>
        </w:rPr>
        <w:t>E. 2.1</w:t>
      </w:r>
    </w:p>
    <w:p>
      <w:r>
        <w:t>L'économie de procédure peut commander à l'autorité saisie de plusieurs requêtes individuelles de les joindre ou, inversement, à l'autorité saisie soit d'une requête commune de plusieurs administrés (consorts), soit de préten- tions étrangères entre elles par un même administré, de les diviser; le droit de procédure régit les conditions d'admission de la jonction et de la disjonc- 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w:t>
      </w:r>
    </w:p>
    <w:p>
      <w:r>
        <w:t>- 5 -</w:t>
      </w:r>
    </w:p>
    <w:p>
      <w:r>
        <w:t>la jonction des causes est néanmoins admise en pratique (v. arrêts du Tri- bunal pénal fédéral RR.2017.100 du 10 août 2017; RR.2010.173-174 du 26 août 2010 consid. 5; RR.2008.190 du 26 février 2009 consid. 1; RR.2008.216+RR.2008.225-230 du 20 novembre 2008 consid. 1.2; MO- SER/BEUSCH/KNEUBÜHLER, Prozessieren vor dem Bundesverwaltungsge- richt, 2e éd. 2013, § 3.17, p. 144 s.).</w:t>
      </w:r>
    </w:p>
    <w:p>
      <w:r>
        <w:rPr>
          <w:b/>
        </w:rPr>
        <w:t>E. 2.2</w:t>
      </w:r>
    </w:p>
    <w:p>
      <w:r>
        <w:t>En l'espèce, les recours sont dirigés contre des décisions rendues sur la base d'une même demande d'entraide; ils concernent le même complexe de faits et soulèvent des griefs similaires; ils ont été rédigés par le même avocat. Il sied donc de faire droit à la conclusion des recourantes tendant à la jonc- tion des causes RR.2018.257-259 et RR.2018.260-261.</w:t>
      </w:r>
    </w:p>
    <w:p>
      <w:r>
        <w:rPr>
          <w:b/>
        </w:rPr>
        <w:t>E. 3.1</w:t>
      </w:r>
    </w:p>
    <w:p>
      <w:r>
        <w:t>Les recourantes se plaignent d'abord d'une violation de leur droit d'être en- tendues, au sens de l'art. 29 al. 2 Cst. Le MP-GE aurait considéré à tort comme "irrelevante" une demande d'assistance administrative internationale concernant D., déposée le 2 mai 2018 par les autorités indiennes auprès de leurs homologues helvétiques, sans même avoir requis de l'Administration fédérale des contributions (ci-après: AFC) ce document, qui serait fonda- mental pour l'issue du présent litige et auquel elles n'auraient pas eu accès. Par ailleurs, la demande d'entraide en question serait assortie de mille pages d'annexes et le délai qui leur a été imparti pour consulter le dossier serait insuffisant pour prendre connaissance d'un tel volume d'informations. Enfin, le 26 juin 2018, l'Autorité précédente aurait déclaré qu'elle entretenait des contacts réguliers avec les autorités indiennes, qui s'inquiétaient de l'exécu- tion de la commission rogatoire du 13 juillet 2017; or, les pièces correspon- dantes n'auraient pas été versées au dossier.</w:t>
      </w:r>
    </w:p>
    <w:p>
      <w:r>
        <w:rPr>
          <w:b/>
        </w:rPr>
        <w:t>E. 3.2</w:t>
      </w:r>
    </w:p>
    <w:p>
      <w:r>
        <w:t>L'argumentation des recourantes tirée de l'existence d'une demande d'assis- tance internationale en matière administrative consiste à affirmer que les autorités indiennes auraient pu utiliser abusivement les voies de l'entraide internationale en matière pénale alors que les faits pertinents étaient de na- ture essentiellement civile ou administrative. La Cour de céans a rejeté cette critique dans la cause RR.2018.264, après avoir retenu que les faits énoncés dans la demande du 13 juillet 2017, transposés en droit suisse, relevaient bien du droit pénal et que, partant, une éventuelle similarité, voire identité, entre le contenu des demandes d'entraide administrative et pénale déposées par les autorités indiennes au sujet de D. ne pouvaient pas constituer un abus de droit susceptible de justifier le refus de l'entraide accordée par le MP-GE (consid. 3.5 et 3.6). Dans les mêmes arrêts, la Cour de céans a con- sidéré que le laps de temps – plus de deux mois, comme dans la présente</w:t>
      </w:r>
    </w:p>
    <w:p>
      <w:r>
        <w:t>- 6 -</w:t>
      </w:r>
    </w:p>
    <w:p>
      <w:r>
        <w:t>espèce – duquel avait disposé les recourantes pour consulter le dossier, avant que les décisions entreprises ne fussent rendues, était largement suf- fisant, dès lors que celles-ci étaient représentées par une avocate, laquelle devait être en mesure d'identifier rapidement les pièces du dossier perti- nentes pour l'issue du litige (ibidem). Ces considérations valent pleinement dans le cadre de la présente procédure et il suffit d'y renvoyer.</w:t>
      </w:r>
    </w:p>
    <w:p>
      <w:r>
        <w:t>Les recourantes ne peuvent pas non plus être suivies lorsqu'elles soutien- nent que leur droit d'être entendu a été violé en ce qu'elles n'ont pas eu accès à certaines pièces du dossier. Certes, ce droit garantit notamment au justi- ciable le droit de s'expliquer avant qu'une décision ne soit prise à son détri- ment, de fournir des preuves quant aux faits de nature à influer sur la déci- sion, d'avoir accès au dossier, de participer à l'administration des preuves, d'en prendre connaissance et de se déterminer à leur propos (art. 29 al. 2 Cst.; cf. par exemple ATF 142 III 48 consid. 4.1.1). Toutefois, le droit d'être entendu s’étend uniquement aux pièces décisives pour le sort de la cause, soit toutes celles que l’autorité prend en considération pour fonder sa déci- sion (cf. par exemple ATF 132 V 387 consid. 3.1 et 3.2). Or, la correspon- dance échangée par le MP-GE et les autorités indiennes au sujet de l'exé- cution de la demande d'entraide du 13 juillet 2017 n'entre pas dans cette catégorie; les recourantes ne le prétendent d'ailleurs pas. De plus, les inté- ressées en ont appris l'existence en juin 2018; c'est à ce moment-là qu'elles auraient dû, le cas échéant, solliciter du MP-GE l'accès aux pièces corres- pondantes, et non le demander dans la présente procédure de recours seu- lement.</w:t>
      </w:r>
    </w:p>
    <w:p>
      <w:r>
        <w:t>Il s'ensuit que la première série de griefs soulevée est mal fondée.</w:t>
      </w:r>
    </w:p>
    <w:p>
      <w:r>
        <w:rPr>
          <w:b/>
        </w:rPr>
        <w:t>E. 4.1</w:t>
      </w:r>
    </w:p>
    <w:p>
      <w:r>
        <w:t>Les recourantes se plaignent également d'une violation du principe de la pro- portionnalité. Les autorités indiennes n'auraient pas requis la transmission de documentation bancaire, mais uniquement la saisie d'avoirs – déposés sur des comptes autres que ceux objet des décisions litigieuses. En outre, certaines pièces dont la transmission a été ordonnée ne présenteraient, ma- tériellement et/ou temporellement, aucun lien avec la procédure pénale me- née en Inde.</w:t>
      </w:r>
    </w:p>
    <w:p>
      <w:r>
        <w:rPr>
          <w:b/>
        </w:rPr>
        <w:t>E. 4.2.1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w:t>
      </w:r>
    </w:p>
    <w:p>
      <w:r>
        <w:t>- 7 -</w:t>
      </w:r>
    </w:p>
    <w:p>
      <w:r>
        <w:t>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s.).</w:t>
      </w:r>
    </w:p>
    <w:p>
      <w:r>
        <w:rPr>
          <w:b/>
        </w:rPr>
        <w:t>E. 4.2.2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w:t>
      </w:r>
    </w:p>
    <w:p>
      <w:r>
        <w:t>- 8 -</w:t>
      </w:r>
    </w:p>
    <w:p>
      <w:r>
        <w:t>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4.3</w:t>
      </w:r>
    </w:p>
    <w:p>
      <w:r>
        <w:t>Dans le cas d’espèce, le procureur a non seulement ordonné les mesures de blocage, mais aussi la saisie et la remise des documents bancaires, tan- dis qu’il ressort de la commission rogatoire que l’Etat requérant était avant tout intéressé par le blocage et la saisie des comptes dont pouvaient dispo- ser D., ceci vraisemblablement en vue de la confiscation ultérieure des actifs, comme cela a en effet été relevé dans la requête (voir supra let. A). Il faut concéder aux recourantes que la commission rogatoire n’est pas très expli- cite s’agissant de la transmission de la documentation bancaire. Cependant, rien ne laisse à penser que celle-ci ait été exclue à dessein, bien au contraire puisque le but final de l’enquête indienne est celui de confisquer le butin. Il est donc évident que cette finalité sera d’autant plus facilement atteignable que si l’autorité pénale disposera de la documentation bancaire complète. En agissant de la sorte, l’autorité d’exécution s’est bel et bien tenue au prin- cipe selon lequel elle doit interpréter la demande selon le sens que l’on peut raisonnablement lui donner dans le but notamment d’éviter le dépôt de de- mandes complémentaires. Il est de jurisprudence constante que la saisie de la documentation bancaire ainsi que sa remise peut être ordonnée quand</w:t>
      </w:r>
    </w:p>
    <w:p>
      <w:r>
        <w:t>- 9 -</w:t>
      </w:r>
    </w:p>
    <w:p>
      <w:r>
        <w:t>bien même l’autorité requérante n’a demandé que la saisie des avoirs dépo- sés sur lesdits comptes bancaires (arrêt du Tribunal fédéral 1A.303/2004 du 29 mars 2005 consid. 4), comme il est par ailleurs possible pour l’autorité d’exécution, face à une demande de saisie de la documentation bancaire, d’ordonner également la saisie des avoirs déposés sur lesdits comptes même si la saisie n’est pas expressément demandée (arrêt du Tribunal pénal fédéral RR.2016.165+166+167 du 5 mai 2017 consid. 5.4). Cette façon de procéder est d’autant plus légitime que, à l’instar du cas d’espèce, toutes les conditions pour accorder l’entraide sont données.</w:t>
      </w:r>
    </w:p>
    <w:p>
      <w:r>
        <w:rPr>
          <w:b/>
        </w:rPr>
        <w:t>E. 4.4</w:t>
      </w:r>
    </w:p>
    <w:p>
      <w:r>
        <w:t>Il s'ensuit que la transmission de documentation bancaire en l'absence de requête explicite en ce sens – et a fortiori la saisie d'avoir déposés sur des comptes non désignés dans la demande d'entraide – ne constitue en soi une violation du principe de la proportionnalité.</w:t>
      </w:r>
    </w:p>
    <w:p>
      <w:r>
        <w:t>Par ailleurs, A. Ltd est le trustee du trust L. – dont la mère de D. est le settlor (cause RR.2018.257-259, act. 1, p. 19, pt 2.3.1) –, entité qui détient B. Ltd et C. Ltd (cause, act. 1, pp. 17 et 19). Aussi, la documentation bancaire liti- gieuse, en ce qu'elle se rapporte, fût-ce indirectement, à la famille du pré- nommé, n'est pas manifestement sans rapport avec l'enquête indienne. C'est à l'autorité requérante qu'il appartiendra d'en évaluer la pertinence et, éven- tuellement, de retenir sur la base de sa propre analyse que – comme l'affir- ment les recourantes – le trust en question ne peut, en raison de son carac- tère irrévocable et discrétionnaire, pas être partie intégrante du mécanisme litigieux investigué. Le cas échéant, la transmission de documentation sur une période étendue leur permettra de déterminer à partir de quand ont eu lieu les actes suspectés ou d'autres comportements similaires.</w:t>
      </w:r>
    </w:p>
    <w:p>
      <w:r>
        <w:t>Le grief de violation du principe de la proportionnalité est donc mal fondé.</w:t>
      </w:r>
    </w:p>
    <w:p>
      <w:r>
        <w:t>5. Finalement, les recourantes errent lorsqu'elles soutiennent que le séquestre des avoirs déposés sur le compte n° 3 ouvert auprès de la banque I. viole l'art. 18 EIMP (mesures provisoires), faute pour l'Inde d'avoir requis une telle mesure. Effectivement, l'absence d'une demande spécifique en ce sens n'empêche pas l'autorité d'exécution d'ordonner un séquestre, si celle-ci a des motifs objectifs de penser que cela pourrait entrer dans les vues de l'Etat requérant (ZIMMERMANN, op. cit., n° 376). Or, tel est manifestement le cas en l'espèce: l'Inde a expressément demandé le séquestre de plusieurs rela- tions, ouvertes auprès des banques G. et H., au motif que celles-ci étaient associées à D. et le compte n° 3 précité entre justement dans cette catégorie.</w:t>
      </w:r>
    </w:p>
    <w:p>
      <w:r>
        <w:t>- 10 -</w:t>
      </w:r>
    </w:p>
    <w:p>
      <w:r>
        <w:t>6. Compte tenu de ce qui précède, les recours sont rejetés.</w:t>
      </w:r>
    </w:p>
    <w:p>
      <w:r>
        <w:t>7. Vu l’issue du litige, les frais de procédure comprenant l'émolument d'arrêté, les émoluments de chancellerie et les débours seront mis à la charge des recourantes qui succombent (art. 63 al. 1 PA, applicable par renvoi de l’art. 39 al. 2 let. b LOAP). En application des art. 73 al. 2 LOAP ainsi que 8 al. 3 du règlement du Tribunal pénal fédéral sur les frais, émoluments, dépens et indemnités de la procédure pénale fédérale (RFPPF; RS 173.713.162) et compte tenu de l'ampleur et de la difficulté de la cause, de la façon de pro- céder des parties, de leur situation financière et des frais de chancellerie, les intéressées supporteront solidairement les frais du présent arrêt, lesquels sont fixés à CHF 10'000.--. Ce montant est intégralement couvert par les CHF 13'000.-- versés à titre d'avance de frais. La caisse du Tribunal pénal fédéral restituera aux recourantes le solde de CHF 3'000.--.</w:t>
      </w:r>
    </w:p>
    <w:p>
      <w:r>
        <w:t>- 11 -</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