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RR.2018.256 vom 19. Februar 2019</w:t>
      </w:r>
    </w:p>
    <w:p>
      <w:r>
        <w:t>Bundesstrafgericht, 2019-02-19, FR</w:t>
      </w:r>
    </w:p>
    <w:p>
      <w:r>
        <w:rPr>
          <w:b/>
        </w:rPr>
        <w:t xml:space="preserve">Quelle: </w:t>
      </w:r>
      <w:r>
        <w:t>https://mcp.opencaselaw.ch/entscheid/bstger_RR.2018.256</w:t>
      </w:r>
    </w:p>
    <w:p>
      <w:r>
        <w:t>FR: TPF RR.2018.256 du 19 février 2019</w:t>
      </w:r>
    </w:p>
    <w:p>
      <w:r>
        <w:t>IT: TPF RR.2018.256 del 19 febbraio 2019</w:t>
      </w:r>
    </w:p>
    <w:p>
      <w:pPr>
        <w:pStyle w:val="Heading2"/>
      </w:pPr>
      <w:r>
        <w:t>Regeste</w:t>
      </w:r>
    </w:p>
    <w:p>
      <w:r>
        <w:t>Entraide judiciaire internationale en matière pénale à la France. Extension de l'extradition (art. 39 et 55 EIMP). Retrait du recours.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avril 2017 et les références citées); en règle générale, les frais de procédure comprenant l'émolument d'arrêt, les émoluments de chancellerie et les débours sont mis à la charge de la partie qui succombe (art. 63 al. 1 de la loi fédérale du 20 décembre 1968 sur la procédure administrative [PA; RS 172.021], applicable par renvoi de l'art. 39 al. 2 let. b de la loi fédérale du 19 mars 2010 sur l'organisation des autorités pénales de la Confédération [LOAP; RS 173.71]); le recourant qui retire son recours doit être considéré comme partie qui succombe au sens de l'art. 63 al. 1 PA (arrêts du Tribunal pénal fédéral RR.2017.316 et RR.2017.71 précités et les références citées); un émolument de CHF 100.--, en application des art. 73 al. 2 LOAP et 8 al. 3 du règlement du 31 août 2010 du Tribunal pénal fédéral sur les frais, émoluments, dépens, et indemnités de la procédure pénale fédérale</w:t>
      </w:r>
    </w:p>
    <w:p>
      <w:r>
        <w:t>- 3 -</w:t>
      </w:r>
    </w:p>
    <w:p>
      <w:r>
        <w:t>(RFPPF; RS 173.713.162) ainsi que de l’art. 63 al. 5 PA est mis à la charge du recourant.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