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RR.2018.249 vom 21. November 2018</w:t>
      </w:r>
    </w:p>
    <w:p>
      <w:r>
        <w:t>Bundesstrafgericht, 2018-11-21, DE</w:t>
      </w:r>
    </w:p>
    <w:p>
      <w:r>
        <w:rPr>
          <w:b/>
        </w:rPr>
        <w:t xml:space="preserve">Quelle: </w:t>
      </w:r>
      <w:r>
        <w:t>https://mcp.opencaselaw.ch/entscheid/bstger_RR.2018.249</w:t>
      </w:r>
    </w:p>
    <w:p>
      <w:r>
        <w:t>FR: TPF RR.2018.249 du 21 novembre 2018</w:t>
      </w:r>
    </w:p>
    <w:p>
      <w:r>
        <w:t>IT: TPF RR.2018.249 del 21 novembre 2018</w:t>
      </w:r>
    </w:p>
    <w:p>
      <w:pPr>
        <w:pStyle w:val="Heading2"/>
      </w:pPr>
      <w:r>
        <w:t>Regeste</w:t>
      </w:r>
    </w:p>
    <w:p>
      <w:r>
        <w:t>Internationale Rechtshilfe in Strafsachen an Tschechien. Herausgabe von Beweismitteln (Art. 74 IRSG).</w:t>
      </w:r>
    </w:p>
    <w:p>
      <w:pPr>
        <w:pStyle w:val="Heading2"/>
      </w:pPr>
      <w:r>
        <w:t>Erwägungen</w:t>
      </w:r>
    </w:p>
    <w:p>
      <w:r>
        <w:rPr>
          <w:b/>
        </w:rPr>
        <w:t>E. 1.1</w:t>
      </w:r>
    </w:p>
    <w:p>
      <w:r>
        <w:t>Für die Rechtshilfe zwischen Tschechien und der Schweiz sind in erster Linie das Europäische Übereinkommen vom 20. April 1959 über die Rechtshilfe in Strafsachen (EUeR; SR 0.351.1) und das zweite Zusatzprotokoll vom 8. No- vember 2001 zum EUeR (ZP II EUeR; SR 0.351.12) massgeblich.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 ZIMMERMANN, La coopération judiciaire internationale en matière pénale, 4. Aufl. 2014, N. 18-21, 28-40, 77, 109).</w:t>
      </w:r>
    </w:p>
    <w:p>
      <w:r>
        <w:t>Soweit die Übereinkommen und das Zusatzprotokoll bestimmte Fragen we- der ausdrücklich noch stillschweigend regeln, bzw. das schweizerische Lan- desrecht geringere Anforderungen an die Rechtshilfe stellt (sog. Günstig- keitsprinzip;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w:t>
      </w:r>
    </w:p>
    <w:p>
      <w:r>
        <w:t>- 4 -</w:t>
      </w:r>
    </w:p>
    <w:p>
      <w:r>
        <w:t>Wahrung der Menschenrechte (BGE 139 II 65 E. 5.4; 135 IV 212 E. 2.3; 123 II 595 E. 7c; TPF 2008 24 E. 1.1; ZIMMERMANN, a.a.O., N. 211 ff., 223 ff., 681 ff.).</w:t>
      </w:r>
    </w:p>
    <w:p>
      <w:r>
        <w:rPr>
          <w:b/>
        </w:rPr>
        <w:t>E. 1.2</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entsprechende Be- schwerdefrist beträgt 30 Tage (Art. 80k IRSG). Zur Beschwerdeführung ist berechtigt, wer persönlich und direkt von einer Rechtshilfemassnahme be- troffen ist und ein schutzwürdiges Interesse an deren Aufhebung oder Ände- rung hat (Art. 80h lit. b IRSG). Als persönlich und direkt betroffen im Sinne von Art. 21 Abs. 3 und Art. 80h lit. b IRSG gilt bei der Erhebung von Konto- informationen der Kontoinhaber (Art. 9a lit. a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w:t>
      </w:r>
    </w:p>
    <w:p>
      <w:r>
        <w:rPr>
          <w:b/>
        </w:rPr>
        <w:t>E. 2.2</w:t>
      </w:r>
    </w:p>
    <w:p>
      <w:r>
        <w:t>Bei dem hier angefochtenen Entscheid handelt es sich um eine Schlussver- fügung der ausführenden kantonalen Behörde in internationalen Rechtshil- feangelegenheiten, gegen welche frist- und formgerecht Beschwerde erho- ben wurde.</w:t>
      </w:r>
    </w:p>
    <w:p>
      <w:r>
        <w:t>Das von der angeordneten Rechtshilfemassnahme betroffene Konto IBAN […] bei der Bank D. lautet auf die Beschwerdeführerin (Verfahrensak- ten, Mäppchen, pag. 36), die ihre vormalige Firma B. AG am 12. Juli 2018 in A. AG geändert hat. Damit ist die Beschwerdeführerin hinsichtlich der He- rausgabe der Bankunterlagen zur Erhebung der vorliegenden Beschwerde</w:t>
      </w:r>
    </w:p>
    <w:p>
      <w:r>
        <w:t>- 5 -</w:t>
      </w:r>
    </w:p>
    <w:p>
      <w:r>
        <w:t>legitimiert. Hingegen ist sie nicht berechtigt, Interessen allfälliger Dritter, na- mentlich ihrer Investoren geltend zu machen, weshalb auf die Beschwerde diesbezüglich nicht einzutreten ist. Soweit sich die Beschwerde in Bezug auf die Übermittlung der Berichte der Kantonspolizei Thurgau (samt Beilagen) richtet, ist ihr die Beschwerdelegitimation ebenfalls abzusprechen. Zum einen musste sich die Beschwerdeführerin diesbezüglich keiner Zwangs- massnahme unterziehen. Zum anderen beinhalten die Berichte keine Ban- kinformationen zu den auf die Beschwerdeführerin lautenden Konten.</w:t>
      </w:r>
    </w:p>
    <w:p>
      <w:r>
        <w:rPr>
          <w:b/>
        </w:rPr>
        <w:t>E. 2.3</w:t>
      </w:r>
    </w:p>
    <w:p>
      <w:r>
        <w:t>Auf die vorliegende Beschwerde ist im besagten Umfang einzutreten.</w:t>
      </w:r>
    </w:p>
    <w:p>
      <w:r>
        <w:rPr>
          <w:b/>
        </w:rPr>
        <w:t>E. 3</w:t>
      </w:r>
    </w:p>
    <w:p>
      <w:r>
        <w:t>Vorab ist zu erwähnen, dass nicht klar ist, was die Beschwerdeführerin mit ihrer formellen Rüge, wonach ihr Rechtsvertreter im Rubrum der angefoch- tenen Verfügung als Rechtsvertreter der beschuldigten C. AG bezeichnet worden sei (act. 1, S. 3), beabsichtigt. Aus den Akten geht hervor, dass RA Meier der Beschwerdegegnerin gegenüber unter Vorlage der entspre- chenden Vollmachten am 21. Juni 2018 mitteilte, sowohl die B. AG als auch die C. AG zu vertreten (Verfahrensakten, Mäppchen, pag. 59 ff.). Jedenfalls führt eine allfällige Bezeichnung des Rechtsvertreters nicht zur Aufhebung der angefochtenen Schlussverfügung.</w:t>
      </w:r>
    </w:p>
    <w:p>
      <w:r>
        <w:rPr>
          <w:b/>
        </w:rPr>
        <w:t>E. 4.1</w:t>
      </w:r>
    </w:p>
    <w:p>
      <w:r>
        <w:t>Die Beschwerdeführerin bringt im Wesentlichen vor, die Beschwerdegegne- rin habe die beidseitige Strafbarkeit ungenügend geprüft. Im Ersuchen sei weder eine Irreführung, die Arglist noch eine Vermögensschädigung darge- tan. Ein Betrug i.S.v. Art. 146 StGB sei nicht gegeben (act. 1, S. 4 ff.; act. 10, S. 2 ff.).</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w:t>
      </w:r>
    </w:p>
    <w:p>
      <w:r>
        <w:t>- 6 -</w:t>
      </w:r>
    </w:p>
    <w:p>
      <w:r>
        <w:t>len (Art. 2 lit. a EUeR) und ob der Grundsatz der Verhältnismässigkeit ge- wahrt wird (BGE 129 II 97 E. 3.1; TPF 2015 110 E. 5.2.1 S. 112; 2011 194 E. 2.1 S. 195 f.).</w:t>
      </w:r>
    </w:p>
    <w:p>
      <w:r>
        <w:rPr>
          <w:b/>
        </w:rPr>
        <w:t>E. 4.2.2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4.2.3</w:t>
      </w:r>
    </w:p>
    <w:p>
      <w:r>
        <w:t>Nachfolgend ist zu prüfen, ob der Sachverhalt im Rechtshilfeersuchen genü- gend konkret dargestellt worden ist, damit eine Subsumtion unter einen schweizerischen Straftatbestand möglich ist.</w:t>
      </w:r>
    </w:p>
    <w:p>
      <w:r>
        <w:rPr>
          <w:b/>
        </w:rPr>
        <w:t>E. 4.3</w:t>
      </w:r>
    </w:p>
    <w:p>
      <w:r>
        <w:t>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(Art. 146 Abs. 1 StGB). Als Täuschung gilt die unrichtige Erklä- rung über Tatsachen, d.h. über objektiv feststehende, vergangene oder ge- genwärtige Geschehnisse oder Zustände, die darauf gerichtet ist, bei einem</w:t>
      </w:r>
    </w:p>
    <w:p>
      <w:r>
        <w:t>- 7 -</w:t>
      </w:r>
    </w:p>
    <w:p>
      <w:r>
        <w:t>andern eine von der Wirklichkeit abweichende Vorstellung hervorzurufen. Äusserungen oder Prognosen über künftige Vorgänge können zu einer Täu- schung führen, wenn sie – in Bezug auf die vom Täter zugrunde gelegene gegenwärtigen Verhältnisse (Prognosegrundlage) – Tatsachen wiedergeben (BGE 135 IV 76 E. 5.1 S. 79 m.w.H.). Arglist ist zu bejahen, wenn der Täter ein ganzes Lügengebäude errichtet oder sich besonderer Machenschaften oder Kniffe bedient. Einfache falsche Angaben sind arglistig, wenn deren Überprüfung nicht oder nur mit besonderer Mühe möglich oder nicht zumut- bar ist und wenn der Täter den Getäuschten von der möglichen Überprüfung abhält oder er nach den Umständen voraussieht, dass jener die Überprüfung der Angaben aufgrund eines besonderen Vertrauensverhältnisses unterlas- sen werde (Urteil des Bundesgerichts 6B_1231/2016 vom 22. Juni 2017 E. 7.2 mit Verweisen auf BGE 135 IV 76 E. 5.2 S. 79 ff.; 128 IV 18 E. 3a S. 20 f., 126 IV 165 E. 2a S. 171 f., je m.w.H.).</w:t>
      </w:r>
    </w:p>
    <w:p>
      <w:r>
        <w:t>Der Betrugstatbestand verlangt ferner einen Vermögensschaden. Ein Ver- mögensschaden liegt vor, wenn das Vermögen des Täuschungsopfers nach Vornahme der irrtumsbedingten Vermögensverfügung in seinem Gesamt- wert – durch Verringerung der Aktiven oder Vermehrung der Passiven – tat- 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S. 350; 129 IV 124 E. 3.1 S. 125 f.; 122 IV 279 E. 2a S. 281; 121 IV 104 E. 2c S. 107 f.; je mit Hinweisen; Urteil des Bundesge- richts 6B_1231/2016 vom 22. Juni 2017 E. 4.3 und 7.4). Der Zeitpunkt der Schädigung ist der Abschluss des Verpflichtungsgeschäfts, es sei denn, die- ses sei nichtig und es seien noch keine Leistungen erbracht worden (BGE 102 IV 89; 96 IV 148). Mit Eintritt des Schadens ist der Betrug vollendet (TRECHSEL/CRAMERI, in: Schweizerisches Strafgesetzbuch, Praxiskommen- tar, Trechsel/Pieth [Hrsg.], 3. Aufl. 2018, Art. 146 N. 27, m.w.H.).</w:t>
      </w:r>
    </w:p>
    <w:p>
      <w:r>
        <w:rPr>
          <w:b/>
        </w:rPr>
        <w:t>E. 4.4</w:t>
      </w:r>
    </w:p>
    <w:p>
      <w:r>
        <w:t>Im tschechischen Ersuchen vom 15. Februar 2018 wird zusammengefasst ausgeführt, ein unbekannter Täter soll alleine oder nach Absprache mit an- deren Mittätern, in der Absicht sich unberechtigt einen finanziellen Vorteil zu verschaffen, durch Betrug finanzielle Mittel von Investoren erschlichen ha- ben. Die Täterschaft habe am 14. September 2017 ins Hotel E. in Prag min- destens 65 Personen eingeladen, die sich für den Einkauf der Aktien inte- ressiert hätten. Der Täter habe den Interessenten nicht mitgeteilt, dass er über keine gültige Genehmigung der Tschechischen Nationalbank für die Tätigkeit im tschechischen Finanzmarkt verfügt habe und zu einer solchen Tätigkeit auf dem Gebiet der Tschechischen Replik nicht berechtigt gewesen sei. Trotzdem habe er den Interessenten ein Angebot unterbreitet, sich an</w:t>
      </w:r>
    </w:p>
    <w:p>
      <w:r>
        <w:t>- 8 -</w:t>
      </w:r>
    </w:p>
    <w:p>
      <w:r>
        <w:t>einer möglichen Aktienzeichnung im Zusammenhang mit der vorbereiteten Fusion zwischen den in der Schweiz domizilierten Gesellschaften C. AG und der F. AG zu beteiligen. Da die neu gezeichneten Aktien für einen Preis EUR 0.50 pro Aktie verkauft und später für EUR 37 pro Aktie (das 74fache des ursprünglichen Einkaufspreises) wieder abgekauft werden sollten, habe dieses Angebot möglichst viele Interessenten für eine schnelle und markante Aufwertung der Investition locken sollen. Der Täter könnte auch in der Ab- sicht gehandelt haben, dass es zu einer solchen Aufwertung niemals kom- men könne. Auch gestützt auf die Tatsache, dass jeder Interessent mindes- tens EUR 5‘000.-- investieren und vorausgesetzt 10‘000 Aktien kaufen sollte, betrage der Schaden mindestens EUR 325‘000.--. Die Ermittlungen hätten ergeben, dass sich einige Investoren mit Dauerwohnsitz in der Tschechi- schen Republik auf das Angebot für den Aktienkauf der C. AG reagiert und Aktien eingekauft hätten. Dies jedoch wohl nicht anlässlich der Veranstaltung vom 14. September 2017, an welcher höchstwahrscheinlich keine Verträge unterschrieben und Aktien gezeichnet worden seien. Die Investoren hätten den Kaufpreis auf das Schweizer Bankkonto IBAN […] überwiesen (Verfah- rensakten, Mäppchen, pag. 4 f.).</w:t>
      </w:r>
    </w:p>
    <w:p>
      <w:r>
        <w:rPr>
          <w:b/>
        </w:rPr>
        <w:t>E. 4.5</w:t>
      </w:r>
    </w:p>
    <w:p>
      <w:r>
        <w:t>Die Sachverhaltsdarstellung im Rechtshilfeersuchen genügt den Anforde- rungen von Art. 14 EUeR und Art. 28 Abs. 3 lit. a IRSG. Daraus gehen hin- reichende Elemente für die Annahme eines Betruges hervor. Sie enthält keine offensichtlichen Fehler, Lücken oder Widersprüche, welche eine Über- prüfung der Strafbarkeit verunmöglichen würden. Im Ersuchen wird ausge- führt, dass sich das tschechische Strafverfahren wegen des Verdachts des Betruges mutmasslich gegen die Vertreter der C. AG richtet. Zudem äussert sich das Ersuchen hinsichtlich des Vorgehens der unbekannten Täterschaft, des Zeitpunktes sowie der mutmasslichen Schadenshöhe. Damit ist der im Ersuchen dargelegte Sachverhalt für den Rechtshilferichter bindend. Daran vermag der Umstand, dass die Kapitalerhöhung möglicherweise nicht das Aktienkapital der C. AG, sondern dasjenige der Beschwerdeführerin (vor- mals B. AG) betraf, nichts zu ändern. Wie die Beschwerdegegnerin zutref- fend ausführt, sind die wirtschaftlichen Verflechtungen zwischen der vorma- ligen B. AG und der C. AG bzw. G. Group AG und der H. AG, die allesamt an der […]-strasse in Z. domiziliert sind, nicht ohne Weiteres nachvollziehbar (act. 6, S. 3; Verfahrensakten, CD, Teledata-Auszüge; Verfahrensakten, Mäppchen, pag. 36 ff.). Entscheidend ist, dass den tschechischen Behörden die Umstände des Treffens in Prag sowie die genauen Angaben des auf die Beschwerdeführerin lautenden Kontos, auf das die mutmasslich geschädig- ten Investoren Geldbeträge überwiesen haben sollen, bekannt sind. Somit ist der im Ersuchen dargelegte Sachverhalt für den Rechtshilferichter als bin- dend zu erachten.</w:t>
      </w:r>
    </w:p>
    <w:p>
      <w:r>
        <w:t>- 9 -</w:t>
      </w:r>
    </w:p>
    <w:p>
      <w:r>
        <w:rPr>
          <w:b/>
        </w:rPr>
        <w:t>E. 4.6.1</w:t>
      </w:r>
    </w:p>
    <w:p>
      <w:r>
        <w:t>Gemäss dem tschechischen Ersuchen versprach die Täterschaft den künfti- gen Investoren 74 Mal höhere Gewinne, ohne über die für die Emission der Wertpapiere in Tschechien benötigte Bewilligung zu verfügen. Ein täuschen- des Verhalten ist deshalb zu bejahen. Angesichts der internationalen, nicht ohne Weiteres nachvollziehbaren Verflechtung der B. AG und der C..AG, sowie mangels der nötigen Bewilligungen ist die Täuschung als arg- listig zu bezeichnen. Laut den tschechischen Behörden haben einige in Tschechien ansässigen Investoren aufgrund der Täuschung Geldbeträge auf das Konto der Beschwerdeführerin überwiesen, wodurch ein Schaden in Höhe von mindestens EUR 325‘000.-- entstanden sei. Unter diesen Umstän- den ist ein Vorsatz und Bereicherungsabsicht der Täterschaft zu bejahen. Der im tschechischen Ersuchen dargelegte Sachverhalt kann prima vista als Anlagebetrug qualifiziert und unter Art. 146 StGB subsumiert werden (vgl. BGE 135 IV 76 E. 5.3 S. 82 ff.; Urteil des Bundesgerichts 6B_150/2017 vom 11. Januar 2018 E. 3.3 und 5.2).</w:t>
      </w:r>
    </w:p>
    <w:p>
      <w:r>
        <w:rPr>
          <w:b/>
        </w:rPr>
        <w:t>E. 4.6.2</w:t>
      </w:r>
    </w:p>
    <w:p>
      <w:r>
        <w:t>Dem Einwand der Beschwerdeführerin, es liege kein Vermögensschaden vor, ist entgegenzuhalten, dass diesfalls ein Betrugsversuch zu bejahen wäre, der nach schweizerischem Recht ebenfalls strafbar ist. Soweit die Be- schwerdeführerin Ausführungen zur allfälligen Strafbarkeit in Tschechien macht, ist sie darauf hinzuweisen, dass sich die Schweizer Behörden grund- sätzlich nicht darüber auszusprechen haben, ob die im Ersuchen angeführ- ten Tatsachen zutreffen oder nicht, und haben im Anwendungsbereich des EUeR die Strafbarkeit nach dem Recht des ersuchenden Staates nicht zu überprüfen (Urteil des Bundesgerichts 1C_62/2011 vom 8. Februar 2011 E. 1.3 m.w.H.). Die materielle Beurteilung des Vorwurfs hat der Sachrichter im ersuchenden Staat vorzunehmen.</w:t>
      </w:r>
    </w:p>
    <w:p>
      <w:r>
        <w:rPr>
          <w:b/>
        </w:rPr>
        <w:t>E. 4.6.3</w:t>
      </w:r>
    </w:p>
    <w:p>
      <w:r>
        <w:t>Bei diesem Ergebnis erübrigt sich die Prüfung, ob der von den ausländischen Behörden dargelegte Sachverhalt auch unter Art. 44 des Bundesgesetzes vom 22. Juni 2007 über die Eidgenössische Finanzmarktaufsicht (Finanz- marktaufsichtsgesetz, FINMAG; SR 956.1) i.V.m. Art. 10 des Bundesgeset- zes vom 24. März 1995 über die Börsen und den Effektenhandel (Börsenge- setz, BEHG; SR 954.1) subsumiert werden könnte (act. 6, S. 5).</w:t>
      </w:r>
    </w:p>
    <w:p>
      <w:r>
        <w:rPr>
          <w:b/>
        </w:rPr>
        <w:t>E. 4.7</w:t>
      </w:r>
    </w:p>
    <w:p>
      <w:r>
        <w:t>Nach dem Gesagten ist die doppelte Strafbarkeit zu bejahen. Die Rüge geht fehl.</w:t>
      </w:r>
    </w:p>
    <w:p>
      <w:r>
        <w:t>- 10 -</w:t>
      </w:r>
    </w:p>
    <w:p>
      <w:r>
        <w:rPr>
          <w:b/>
        </w:rPr>
        <w:t>E. 5.1</w:t>
      </w:r>
    </w:p>
    <w:p>
      <w:r>
        <w:t>Weiter rügt die Beschwerdeführerin eine Verletzung des Verhältnismässig- keitsgrundsatzes (act. 1, S. 6 f.).</w:t>
      </w:r>
    </w:p>
    <w:p>
      <w:r>
        <w:rPr>
          <w:b/>
        </w:rPr>
        <w:t>E. 5.2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- 11 -</w:t>
      </w:r>
    </w:p>
    <w:p>
      <w:r>
        <w:rPr>
          <w:b/>
        </w:rPr>
        <w:t>E. 5.3</w:t>
      </w:r>
    </w:p>
    <w:p>
      <w:r>
        <w:t>Die gemäss Schlussverfügung herauszugebenden Bankunterlagen könnten für das ausländische Strafverfahren von Bedeutung sein und sind daher her- auszugeben. Insbesondere handelt es sich um Kontoauszüge für die Zeit ab dem 1. Januar 2017 und Unterlagen im Zusammenhang mit der am 28. Juni 2017 beschlossenen Kapitalerhöhung der Beschwerdeführerin (vormals B. AG). Des Weiteren sind von der Herausgabe zwei im Internet einsehbare Handelsregisterauszüge betroffen, als die Beschwerdeführerin noch die Firma B. AG trug. Nachdem die ersuchende Behörde die von den mutmass- lich geschädigten Personen getätigten Investitionen und in diesem Zusam- menhang getätigten Einzahlungen auf das Konto IBAN […] zu ermitteln ver- sucht, ist die Herausgabe der vorgenannten Unterlagen nicht zu beanstan- den. Jedenfalls befinden sich unter den herauszugebenden Beweismitteln keine Unterlagen, die für das tschechische Strafverfahren mit Sicherheit nicht potentiell erheblich wären. Hinzu kommt, dass die Beschwerdegegne- rin die Herausgabe der angeforderten Unterlagen in zeitlicher Hinsicht ein- schränkte und deren Herausgabe erst ab dem 1. Januar 2017 und nicht ab Eröffnung des Kontos verfügte (Verfahrensakten, Mäppchen, pag.15 ff.).</w:t>
      </w:r>
    </w:p>
    <w:p>
      <w:r>
        <w:t>Entgegen den Ausführungen der Beschwerdeführerin ist nicht ersichtlich, in- wiefern die Herausgabe der Bankunterlagen sich für die Beschwerdeführerin als geschäfts- und rufschädigend auswirken könnte. Die Beschwerdegegne- rin weist richtigerweise darauf hin, dass die Bankunterlagen an die tschechi- schen Behörden im Rahmen der Rechtshilfe herausgegeben werden, die sich sowohl an die Schweigepflicht als auch an das von der Schweiz ange- brachte Spezialitätsprinzip zu halten haben. Dass sich die tschechischen Be- hörden daran nicht halten würden, wird von der Beschwerdeführerin zu Recht nicht vorgebracht. Eine Verletzung des Verhältnismässigkeitsprinzips ist nicht zu erkennen. Bei diesem Ergebnis ist der Eventualantrag der Be- schwerdeführerin abzuweisen.</w:t>
      </w:r>
    </w:p>
    <w:p>
      <w:r>
        <w:rPr>
          <w:b/>
        </w:rPr>
        <w:t>E. 6</w:t>
      </w:r>
    </w:p>
    <w:p>
      <w:r>
        <w:t>Die Beschwerde erweist sich nach dem Gesagten als unbegründet. Andere Hindernisse, welche der zu gewährenden Rechtshilfe entgegenstehen wür- den, werden weder geltend gemacht noch sind solche ersichtlich. Die Be- schwerde ist daher vollumfänglich abzuweisen, soweit darauf einzutreten ist.</w:t>
      </w:r>
    </w:p>
    <w:p>
      <w:r>
        <w:rPr>
          <w:b/>
        </w:rPr>
        <w:t>E. 7</w:t>
      </w:r>
    </w:p>
    <w:p>
      <w:r>
        <w:t>Bei diesem Ausgang des Verfahrens sind die Gerichtskosten der Beschwer- deführerin aufzuerlegen (Art. 63 Abs. 1 VwVG). Die Gerichtsgebühr ist auf Fr. 4‘000.-- festzusetzen (Art. 63 Abs. 5 VwVG i.V.m. Art. 73 StBOG sowie Art. 5 und 8 Abs. 3 lit. a des Reglements des Bundesstrafgerichts vom</w:t>
      </w:r>
    </w:p>
    <w:p>
      <w:r>
        <w:t>- 12 -</w:t>
      </w:r>
    </w:p>
    <w:p>
      <w:r>
        <w:t>31. August 2010 über die Kosten, Gebühren und Entschädigungen in Bun- desstrafverfahren [BStKR; SR 173.713.162]), unter Anrechnung des von der Beschwerdeführerin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