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RR.2018.248 vom 12. Dezember 2018</w:t>
      </w:r>
    </w:p>
    <w:p>
      <w:r>
        <w:t>Bundesstrafgericht, 2018-12-12, IT</w:t>
      </w:r>
    </w:p>
    <w:p>
      <w:r>
        <w:rPr>
          <w:b/>
        </w:rPr>
        <w:t xml:space="preserve">Quelle: </w:t>
      </w:r>
      <w:r>
        <w:t>https://mcp.opencaselaw.ch/entscheid/bstger_RR.2018.248</w:t>
      </w:r>
    </w:p>
    <w:p>
      <w:r>
        <w:t>FR: TPF RR.2018.248 du 12 décembre 2018</w:t>
      </w:r>
    </w:p>
    <w:p>
      <w:r>
        <w:t>IT: TPF RR.2018.248 del 12 dicembre 2018</w:t>
      </w:r>
    </w:p>
    <w:p>
      <w:pPr>
        <w:pStyle w:val="Heading2"/>
      </w:pPr>
      <w:r>
        <w:t>Regeste</w:t>
      </w:r>
    </w:p>
    <w:p>
      <w:r>
        <w:t>Assistenza giudiziaria internazionale in materia penale alla Spagna.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rPr>
          <w:b/>
        </w:rPr>
        <w:t>E. 1.2</w:t>
      </w:r>
    </w:p>
    <w:p>
      <w:r>
        <w:t>I rapporti di assistenza giudiziaria in materia penale fra la Spagna e la Confe- derazione Svizzera sono anzitutto retti dalla Convenzione europea di assi- stenza giudiziaria in materia penale del 20 aprile 1959, entrata in vigore il 16 no- vembre 1982 per la Spagna ed il 20 marzo 1967 per la Svizzera (CEAG; RS 0.351.1), nonché dagli art. 48 e segg. della Convenzione di applicazione dell'Ac- cordo di Schengen del 14 giugno 1985 (CAS; n° CELEX 42000°0922[02]; Gior- nale ufficiale dell'Unione europea L 239 del 22 settembre 2000, pag. 19-62; testo non pubblicato nella RS ma consultabile nel fascicolo "Assistenza e estra- dizione"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dicembre 1998 per la Spagna (CRic;</w:t>
      </w:r>
    </w:p>
    <w:p>
      <w:r>
        <w:t>- 4 -</w:t>
      </w:r>
    </w:p>
    <w:p>
      <w:r>
        <w:t>RS. 0.311.53).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DTF 142 IV 250 consid. 3; 140 IV 123 consid. 2; 137 IV 33 consid. 2.2.2; 136 IV 82 consid. 3.1). Il principio di favore vale anche nell'applicazione delle perti- nenti norme di diritto internazionale (v. art. 48 n. 2 CAS e 39 n. 3 CRic).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La ricorrente è titolare della relazioni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La ricorrente afferma che l'AFD avrebbe emanato la decisione impugnata senza esaminare la documentazione relativa alla sua relazione bancaria, senza cer- nita e senza averle dato facoltà di pronunciarsi sulle eventuali valutazioni affe- renti a un suo coinvolgimento nei fatti oggetto d'indagine all'estero. Essa asse- risce, a più riprese, di non avere neppure preso conoscenza del contenuto della rogatoria e dei suoi complementi.</w:t>
      </w:r>
    </w:p>
    <w:p>
      <w:r>
        <w:rPr>
          <w:b/>
        </w:rPr>
        <w:t>E. 2.1</w:t>
      </w:r>
    </w:p>
    <w:p>
      <w:r>
        <w:t>Secondo la giurisprudenza, l'autorità di esecuzione, dopo aver concesso al de- tentore della documentazione la possibilità di addurre i motivi che si opporreb- bero alla trasmissione di determinati atti e la facoltà di partecipare alla neces- 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w:t>
      </w:r>
    </w:p>
    <w:p>
      <w:r>
        <w:t>- 5 -</w:t>
      </w:r>
    </w:p>
    <w:p>
      <w:r>
        <w:t>OAIMP un termine per addurre riguardo a ogni singolo documento gli argomenti che secondo loro si opporrebbero alla consegna. Questo affinché esse possano esercitare in maniera concreta ed effettiva il loro diritto di essere sentiti (v. art. 30 cpv. 1 PA), secondo modalità di collaborazione comunque rispettose del principio della buona fede (art. 5 cpv. 3 Cost.; KRAUSKOPF/EMMENEGGER, in: Waldmann/Weissenberger, Praxiskommentar VwVG, 2a ediz. 2016, n. 54 ad art. 12 PA). La cernita deve aver luogo anche qualora l'interessato rinunci ad esprimersi (DTF 130 II 14 consid. 4.3 e 4.4; 126 II 258 consid. 9b/aa pag. 262; cfr. anche DTF 127 II 151 consid. 4c/aa; ZIMMERMANN, La coopération judiciaire internationale en matière pénale, 4a ediz. 2014, n. 484, 724-725; DE PREUX, L'entraide internationale en matière pénale et la lutte contre le blanchiment d'ar- gent, in SJZ 104/2008 n. 2 pag. 34).</w:t>
      </w:r>
    </w:p>
    <w:p>
      <w:r>
        <w:rPr>
          <w:b/>
        </w:rPr>
        <w:t>E. 2.2</w:t>
      </w:r>
    </w:p>
    <w:p>
      <w:r>
        <w:t>Il diritto di essere sentito, ancorato all’art. 29 cpv. 2 Cost., viene concretizzato nell’ambito dell’assistenza giudiziaria internazionale agli art. 29 e segg. PA ri- chiamato l’art. 12 cpv. 1 AIMP (ZIMMERMANN, op., cit., n. 472). Esso è di natura formale (DTF 126 I 19 consid. 2d/bb pag. 24; 125 I 113 consid. 3; ALBERTINI, Der verfassungsmässige Anspruch auf rechtliches Gehör im Verwaltungsver- fahren des modernen Staates, 2000, pag. 449 con rinvii). Una violazione di que- sto diritto fondamentale da parte dell’autorità d’esecuzione non comporta co- munque automaticamente l’accoglimento del gravame e l’annullamento della decisione impugnata. Secondo la giurisprudenza e la dottrina una violazione del diritto di essere sentito può essere sanata, se la persona toccata ottiene la pos- sibilità di esprimersi in merito davanti ad una autorità di ricorso, la quale, come nella fattispecie questa Corte, dispone del medesimo potere d’esame dell’auto- rità precedente (v. DTF 124 II 132 consid. 2d; sentenze del Tribunale federale 1C_525/2008 e 1C_526/2008 del 28 novembre 2008 consid. 1.3 nonché 1A.54/2004 del 30 aprile 2004; TPF 2008 172 consid. 2.3; LUDWICZAK GLASSEY, Entraide judiciaire internationale en matière pénale, 2018, n. 398; ZIMMERMANN, op. cit., n. 472).</w:t>
      </w:r>
    </w:p>
    <w:p>
      <w:r>
        <w:rPr>
          <w:b/>
        </w:rPr>
        <w:t>E. 2.3</w:t>
      </w:r>
    </w:p>
    <w:p>
      <w:r>
        <w:t>In concreto, si rileva che l'AFD, con scritto del 4 giugno 2018 (v. atto 5 incarto AFD), ha informato la ricorrente della rogatoria spagnola nonché dell'avvenuto sequestro della sua relazione bancaria presso la banca E. L'autorità d'esecu- zione, al fine di garantire il rispetto del diritto di essere sentito della ricorrente, ha dato a quest'ultima la possibilità di esprimersi sull'eventuale trasmissione all'estero della documentazione sequestrata. Con scritto del 22 giugno 2018, la ricorrente ha comunicato all'AFD che detta documentazione è "evidentemente e completamente estranea alle ricerche del contesto di cui ha l'oggetto" (v. atto</w:t>
      </w:r>
    </w:p>
    <w:p>
      <w:r>
        <w:rPr>
          <w:b/>
        </w:rPr>
        <w:t>E. 6</w:t>
      </w:r>
    </w:p>
    <w:p>
      <w:r>
        <w:t>incarto AFD). Con scritto del 4 luglio 2018, l'AFD ha informato la ricorrente che, dedotta la sua opposizione alla trasmissione della documentazione relativa alla sua relazione bancaria, avrebbe emanato a breve una decisione motivata sulla concessione e la portata dell'assistenza giudiziaria impugnabile dinanzi al Tribunale penale federale (v. atto 7 incarto AFD). Quanto precede permette di</w:t>
      </w:r>
    </w:p>
    <w:p>
      <w:r>
        <w:t>- 6 -</w:t>
      </w:r>
    </w:p>
    <w:p>
      <w:r>
        <w:t>affermare che il diritto di essere sentito della ricorrente è stato senz'altro rispet- tato. Il fatto che la stessa non abbia richiesto un accesso agli atti, al fine di visionare anche la rogatoria e i suoi complementi, non è certamente imputabile all'autorità d'esecuzione. Affermare in maniera generale e indifferenziata che la documentazione richiesta è estranea all'inchiesta estera non è sufficiente. In quanto titolare della documentazione avrebbe dovuto essere in grado di dimo- strare in maniera chiara e precisa il motivo per cui la consegna sarebbe lesiva del principio della proporzionalità (v. LUDWICZAK GLASSEY, op. cit., n. 394). La censura in questo ambito va dunque respinta.</w:t>
      </w:r>
    </w:p>
    <w:p>
      <w:r>
        <w:t>3. La ricorrente sostiene che la documentazione oggetto della decisione impu- gnata sia estranea alla domanda di assistenza, la quale costituirebbe una fishing espedition. Non menzionata nella rogatoria, incomprensibile sarebbe il suo ruolo nell'ipotetico progetto malavitoso oggetto d'indagini all'estero.</w:t>
      </w:r>
    </w:p>
    <w:p>
      <w:r>
        <w:t>3.1 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l'inoltro di eventuali domande comple- mentari (DTF 136 IV 82 consid. 4.1; 121 II 241 consid. 3; sentenza del Tribunale</w:t>
      </w:r>
    </w:p>
    <w:p>
      <w:r>
        <w:t>- 7 -</w:t>
      </w:r>
    </w:p>
    <w:p>
      <w:r>
        <w:t>federale 1C_486/2008 dell'11 novembre 2008 consid. 2.4; sentenza del Tribu- nale penale federale RR.2011.113 del 28 luglio 2011 consid. 4.2). In base alla giurisprudenza l'esame da parte delle autorità di esecuzione e del giudice dell’assistenza va limitato alla cosiddetta utilità potenziale, secondo cui la con- segna giusta l'art. 74 AIMP è esclusa soltanto per quei mezzi di prova certa- 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 cio nella raccolta delle prove (DTF 113 Ib 257 consid. 5c).</w:t>
      </w:r>
    </w:p>
    <w:p>
      <w:r>
        <w:t>3.2 Nella fattispecie, gli atti dell'incarto permettono di evidenziare diversi versamenti di denaro effettuati da B. S.L., società indagata all'estero, a favore del conto n. 1 presso la banca E., intestato a F. SA (v. atto 4.4). Da questo medesimo conto sono inoltre stati fatti svariati bonifici a favore della relazione della ricor- rente (v. ibidem). Ora, visto quanto precede e precisato che G., residente in Svizzera, dispone di diritto di firma individuale sia per F. SA che per A. GmbH (v. atti 4.2 e 4.3 incarto AFD), è naturale e conforme alle specifiche richieste formulate in rogatoria (v. supra Fatti lett. A) trasmettere alle autorità estere an- che la documentazione relativa alla relazione della ricorrente, la cui utilità per l'inchiesta spagnola non può essere esclusa.</w:t>
      </w:r>
    </w:p>
    <w:p>
      <w:r>
        <w:t>Spetterà comunque al giudice estero del merito valutare se dalla documenta- zione inoltrata emerge in concreto una connessione penalmente rilevante fra i fatti oggetto della procedura penale in Spagna e detta documentazione. Alla luce della domanda rogatoriale risulta che tutta la documentazione litigiosa è potenzialmente utile per l’inchiesta, motivo per cui la sua trasmissione rispetta il principio della proporzionalità e non costituisce un'inammissibile fishing expe- dition.</w:t>
      </w:r>
    </w:p>
    <w:p>
      <w:r>
        <w:t>4. In definitiva, la decisione impugnata va confermata e il gravame integralmente respinto.</w:t>
      </w:r>
    </w:p>
    <w:p>
      <w:r>
        <w:t>5. Le spese seguono la soccombenza (v. art. 63 cpv. 1 PA). La tassa di giustizia è calcolata giusta gli art. 73 cpv. 2 LOAP, 63 cpv. 4bis PA, nonché 5 e 8 cpv. 3 del regolamento del 31 agosto 2010 sulle spese, gli emolumenti, le ripetibili e le</w:t>
      </w:r>
    </w:p>
    <w:p>
      <w:r>
        <w:t>- 8 -</w:t>
      </w:r>
    </w:p>
    <w:p>
      <w:r>
        <w:t>indennità della procedura penale federale (RSPPF; RS 173.713.162), ed è fis- sata nella fattispecie a fr. 4’000.–; essa è coperta dall'anticipo delle spese già versato (v. act. 4).</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