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RR.2018.247 vom 5. November 2018</w:t>
      </w:r>
    </w:p>
    <w:p>
      <w:r>
        <w:t>Bundesstrafgericht, 2018-11-05, FR</w:t>
      </w:r>
    </w:p>
    <w:p>
      <w:r>
        <w:rPr>
          <w:b/>
        </w:rPr>
        <w:t xml:space="preserve">Quelle: </w:t>
      </w:r>
      <w:r>
        <w:t>https://mcp.opencaselaw.ch/entscheid/bstger_RR.2018.247</w:t>
      </w:r>
    </w:p>
    <w:p>
      <w:r>
        <w:t>FR: TPF RR.2018.247 du 5 novembre 2018</w:t>
      </w:r>
    </w:p>
    <w:p>
      <w:r>
        <w:t>IT: TPF RR.2018.247 del 5 novembre 2018</w:t>
      </w:r>
    </w:p>
    <w:p>
      <w:pPr>
        <w:pStyle w:val="Heading2"/>
      </w:pPr>
      <w:r>
        <w:t>Regeste</w:t>
      </w:r>
    </w:p>
    <w:p>
      <w:r>
        <w:t>Extradition au Portugal. Décision d'extradition (art. 55 EIMP). Assistance judiciaire (art. 65 PA).</w:t>
      </w:r>
    </w:p>
    <w:p>
      <w:pPr>
        <w:pStyle w:val="Heading2"/>
      </w:pPr>
      <w:r>
        <w:t>Erwägungen</w:t>
      </w:r>
    </w:p>
    <w:p>
      <w:r>
        <w:rPr>
          <w:b/>
        </w:rPr>
        <w:t>E. 1.1</w:t>
      </w:r>
    </w:p>
    <w:p>
      <w:r>
        <w:t>Vu le dispositif de l'acte attaqué ainsi que les conclusions du recourant, le litige porte sur la détention extraditionnelle et sur l'extradition de l'intéressé.</w:t>
      </w:r>
    </w:p>
    <w:p>
      <w:r>
        <w:rPr>
          <w:b/>
        </w:rPr>
        <w:t>E. 1.2</w:t>
      </w:r>
    </w:p>
    <w:p>
      <w:r>
        <w:t>La décision par laquelle l’OFJ accorde l’extradition (art. 55 al. 1 EIMP) peut faire l’objet d’un recours devant la Cour des plaintes du Tribunal pénal fédé- ral (art. 55 al. 3 et 25 al. 1 EIMP). L’extradable a qualité pour recourir au sens</w:t>
      </w:r>
    </w:p>
    <w:p>
      <w:r>
        <w:t>- 3 -</w:t>
      </w:r>
    </w:p>
    <w:p>
      <w:r>
        <w:t>de l’art. 21 al. 3 EIMP (ATF 122 II 373 consid. 1b; 118 Ib 269 consid. 2d). Le délai de recours est de 30 jours (art. 50 al. 1 de la loi fédérale sur la procé- dure administrative [PA; RS 172.021], applicable par renvoi de l’art. 39 al. 2 let. b de la loi fédérale sur l’organisation des autorités pénales de la Confé- dération [LOAP; RS 173.71]).</w:t>
      </w:r>
    </w:p>
    <w:p>
      <w:r>
        <w:rPr>
          <w:b/>
        </w:rPr>
        <w:t>E. 1.3</w:t>
      </w:r>
    </w:p>
    <w:p>
      <w:r>
        <w:t>En vertu de l’art. 27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 à titre extraditionnel. Le délai de recours est de dix jours à compter de la noti- fication du mandat d’arrêt (art. 48 al. 2 EIMP).</w:t>
      </w:r>
    </w:p>
    <w:p>
      <w:r>
        <w:rPr>
          <w:b/>
        </w:rPr>
        <w:t>E. 1.4</w:t>
      </w:r>
    </w:p>
    <w:p>
      <w:r>
        <w:t>En l'espèce, le mémoire de recours est intervenu dans les dix jours à comp- ter de la notification de l'acte attaqué. Il y a donc lieu d'entrer en matière, aussi bien sur les conclusions relatives à la détention extraditionnelle que sur celles concernant l'extradition.</w:t>
      </w:r>
    </w:p>
    <w:p>
      <w:r>
        <w:rPr>
          <w:b/>
        </w:rPr>
        <w:t>E. 1.5</w:t>
      </w:r>
    </w:p>
    <w:p>
      <w:r>
        <w:t>Les procédures d’extradition entre la Suisse et le Portugal sont prioritaire- 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Les art. 59 ss de la Conven- tion d’application de l’Accord de Schengen du 14 juin 1985 (CAAS; n° CELEX 42000A0922[02]; Journal officiel de l’Union européenne L 239 du 22 septembre 2000, p. 19-62) s’appliquent également à l’entraide pénale entre la Suisse et le Portugal.</w:t>
      </w:r>
    </w:p>
    <w:p>
      <w:r>
        <w:t>Pour le surplus, l’EIMP et son ordonnance d’exécution du 24 février 1982 (OEIMP; RS 351.11) règlent les questions qui ne sont pas régies, explicite- ment ou implicitement, par la CEExtr (ATF 130 II 337 consid. 1; 128 II 355 consid. 1 et la jurisprudence citée). Le droit interne s’applique en outre lorsqu’il est plus favorable à l’octroi de l’extradition que le droit international (principe « de faveur »; ATF 142 IV 250 consid. 3; 140 IV 123 consid. 2; 137 IV 33 consid. 2.2.2; 136 IV 82 consid. 3.1). Le respect des droits fonda- mentaux est réservé (ATF 35 IV 212 consid. 2.3; 123 II 595 consid. 7c; TPF 2008 24 consid. 1.1).</w:t>
      </w:r>
    </w:p>
    <w:p>
      <w:r>
        <w:rPr>
          <w:b/>
        </w:rPr>
        <w:t>E. 2.1</w:t>
      </w:r>
    </w:p>
    <w:p>
      <w:r>
        <w:t>A l'appui de sa conclusion tendant à sa libération immédiate, le recourant dénonce une violation de l'art. 47 al. 1 let. a EIMP. Sa situation personnelle</w:t>
      </w:r>
    </w:p>
    <w:p>
      <w:r>
        <w:t>- 4 -</w:t>
      </w:r>
    </w:p>
    <w:p>
      <w:r>
        <w:t>exclurait qu'il se soustraie à l'extradition. En effet, lui et sa compagne, en couple depuis cinq ans, auraient eu ensemble un fils, aujourd'hui âgé de quatre ans, et attendraient un deuxième enfant.</w:t>
      </w:r>
    </w:p>
    <w:p>
      <w:r>
        <w:rPr>
          <w:b/>
        </w:rPr>
        <w:t>E. 2.2</w:t>
      </w:r>
    </w:p>
    <w:p>
      <w:r>
        <w:t>La détention extraditionnelle est la règle, tandis que la mise en liberté de- meure l’exception (ATF 130 II 306 consid. 2.4), cette dernière étant du reste soumise à des exigences plus strictes en matière de détention extradition- nelle que de détention provisoire prononcée dans le cadre d’une procédure pénale nationale (ATF 130 II 306 consid. 2.2; 111 IV 108 consid. 2; 109 Ib 223 consid. 2c; arrêt du Tribunal fédéral 1A.148/2004 du 21 juin 2004 con- sid. 2.2). Aux termes des art. 47 ss EIMP, il peut notamment être renoncé à la détention s’il apparaît que la personne poursuivie ne se soustraira pas à l’extradition et n’entravera pas l’instruction (art. 47 al. 1 let. a).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(ATF 111 IV 108 consid. 2; arrêt du Tribunal fédéral G.31/1995 du 21 juin 1995 consid. 1).</w:t>
      </w:r>
    </w:p>
    <w:p>
      <w:r>
        <w:rPr>
          <w:b/>
        </w:rPr>
        <w:t>E. 2.3</w:t>
      </w:r>
    </w:p>
    <w:p>
      <w:r>
        <w:t>Le Tribunal fédéral a retenu l'existence d'un risque de fuite dans le cas d'un extradable qui séjournait en Suisse depuis dix-huit ans et était marié à une citoyenne suisse, avec laquelle il avait eu deux enfants âgés alors de trois et huit ans, tous deux titulaires de la nationalité suisse et scolarisés, au motif que l'intéressé était menacé d'une lourde peine dans l'Etat requérant (arrêt 8G.45/2001 du 15 août 2001, consid. 3a [cité in: ATF 136 IV 20, consid. 2.2]). Saisie d'un cas similaire, la haute Cour a tranché dans le même sens, en relevant que le relatif jeune âge du poursuivi (30 ans) et son bon état de santé accroissaient le risque de fuite (arrêt 8G.49/2002 du 24 mai 2002, cité in: ATF 136 IV 20, consid. 2.2).</w:t>
      </w:r>
    </w:p>
    <w:p>
      <w:r>
        <w:rPr>
          <w:b/>
        </w:rPr>
        <w:t>E. 2.4</w:t>
      </w:r>
    </w:p>
    <w:p>
      <w:r>
        <w:t>L'OFJ a affirmé, sans être contredit par le recourant, que celui-ci était arrivé en Suisse il y a sept ans. Au vu de ce qui précède, la durée du séjour de l'intéressé dans ce pays n'est pas propre à exclure l'existence d'un risque de fuite, quand bien même celui-ci y a fondé une famille. En outre, une peine privative de liberté de cinq ans est considérée comme lourde (cf. par exemple arrêt du Tribunal pénal fédéral RH.2018.6 du 18 mai 2018, con- sid. 2.1.3) et le recourant y a été condamné par les autorités portugaises – contrairement à la situation qui prévalait dans les cas ayant donné lieu à la jurisprudence précitée, dans lesquels une condamnation n'était pas certaine, dès lors que le procès n'avait pas encore eu lieu dans l'Etat requérant. A cela s'ajoute que l'intéressé, qui n'allègue pas être atteint dans sa santé, n'est âgé que de 35 ans. L'OFJ a donc retenu à bon droit qu'on ne se trouvait pas</w:t>
      </w:r>
    </w:p>
    <w:p>
      <w:r>
        <w:t>- 5 -</w:t>
      </w:r>
    </w:p>
    <w:p>
      <w:r>
        <w:t>en présence de circonstances qui justifieraient, exceptionnellement, de re- noncer à la détention extraditionnelle, sur la base de l'art. 47 al. 1 let. a EIMP. A noter qu'on ne voit pas en quoi une mesure de substitution serait en l'es- pèce susceptible de réduire notablement le risque de fuite et le recourant – qui évoque cette question en une phrase – ne le précise pas.</w:t>
      </w:r>
    </w:p>
    <w:p>
      <w:r>
        <w:t>Il s'ensuit que le grief soulevé à l'encontre de la détention extraditionnelle est mal fondé.</w:t>
      </w:r>
    </w:p>
    <w:p>
      <w:r>
        <w:rPr>
          <w:b/>
        </w:rPr>
        <w:t>E. 3</w:t>
      </w:r>
    </w:p>
    <w:p>
      <w:r>
        <w:t>Dans sa réplique du 4 octobre 2018, le recourant invoque, à l'appui de sa conclusion visant au rejet de la demande d'extradition, les art. 37 al. 1 EIMP, 14 Cst., 12 CEDH et 23 Pacte ONU II, ainsi que 11 Cst, et 8 s. de la Con- vention du 20 novembre 1989 sur les droits de l'enfant (RS 0.107). Il argue que la Suisse est en mesure d'assumer l'exécution du jugement condamna- toire portugais et que l'extradition violerait son droit de fonder une famille ainsi que le droit de son fils et de son enfant à naître à l'établissement des relations familiales nécessaires à leur bon développement. L'intéressé sou- tient aussi que la mesure querellée priverait sa famille de toutes ressources financières et, partant, la forcerait à dépendre de l'aide sociale. On ne voit pas que le recourant n'aurait pas pu faire valoir ces critiques dans les 30 jours suivant la notification de l'acte attaqué (cf. supra consid. 1.2) – singulièrement dans son mémoire de recours – et l'intéressé ne le prétend d'ailleurs pas. Force est dès lors de constater que ces moyens sont tardifs et, partant, irrecevables.</w:t>
      </w:r>
    </w:p>
    <w:p>
      <w:r>
        <w:rPr>
          <w:b/>
        </w:rPr>
        <w:t>E. 4.1</w:t>
      </w:r>
    </w:p>
    <w:p>
      <w:r>
        <w:t>Pour le surplus, le recourant soutient que son extradition est contraire à l’art. 8 de la Convention de sauvegarde des droits de l’homme et des libertés fondamentales (CEDH; RS 0.101). Cette mesure l’empêcherait d’entretenir les liens familiaux, protégés par dite disposition conventionnelle, qu’il entre- tiendrait avec sa compagne et leur fils résidant tous deux en Suisse.</w:t>
      </w:r>
    </w:p>
    <w:p>
      <w:r>
        <w:rPr>
          <w:b/>
        </w:rPr>
        <w:t>E. 4.2</w:t>
      </w:r>
    </w:p>
    <w:p>
      <w:r>
        <w:t>Toute personne a droit au respect de sa vie privée et familiale, de son domi- cile et de sa correspondance (art. 8 par. 1 CEDH). Il ne peut y avoir ingé- 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w:t>
      </w:r>
    </w:p>
    <w:p>
      <w:r>
        <w:t>- 6 -</w:t>
      </w:r>
    </w:p>
    <w:p>
      <w:r>
        <w:t>Cette disposition ne confère toutefois pas le droit de résider sur le territoire de l’Etat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 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 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 tionnel et n’entrait pas en ligne de compte dans d’autres circonstances (ex- tradition requise pour une poursuite et non une exécution de peine, co- auteurs ou complices poursuivis à l’étranger et empêchant un jugement en Suisse, circonstances familiales différentes; arrêt du Tribunal fédéral 1A.9/2001 du 16 février 2001 consid. 3c).</w:t>
      </w:r>
    </w:p>
    <w:p>
      <w:r>
        <w:rPr>
          <w:b/>
        </w:rPr>
        <w:t>E. 4.3</w:t>
      </w:r>
    </w:p>
    <w:p>
      <w:r>
        <w:t>La situation du recourant n'est pas comparable à celle très particulière qui prévalait dans la jurisprudence précitée. Effectivement, l'intéressé se con- tente d'évoquer, de manière toute générale et sans fournir de certificat mé- dical, "l'état psychologique de la famille". En tout état de cause, il n'avance cet élément qu'au stade de la réplique, de sorte qu'il ne peut en être tenu compte (cf. surpa, consid. 3). Le grief tiré d'une violation de l'art. 8 CEDH est donc mal fondé.</w:t>
      </w:r>
    </w:p>
    <w:p>
      <w:r>
        <w:rPr>
          <w:b/>
        </w:rPr>
        <w:t>E. 5</w:t>
      </w:r>
    </w:p>
    <w:p>
      <w:r>
        <w:t>Il s'ensuit que le recours est mal fondé dans la mesure où il est recevable.</w:t>
      </w:r>
    </w:p>
    <w:p>
      <w:r>
        <w:rPr>
          <w:b/>
        </w:rPr>
        <w:t>E. 6</w:t>
      </w:r>
    </w:p>
    <w:p>
      <w:r>
        <w:t>Le recourant sollicite l’octroi de l’assistance judiciaire.</w:t>
      </w:r>
    </w:p>
    <w:p>
      <w:r>
        <w:t>Après le dépôt du recours, la partie qui ne dispose pas de ressources suffi- santes et dont les conclusions ne paraissent pas d’emblée vouées à l’échec</w:t>
      </w:r>
    </w:p>
    <w:p>
      <w:r>
        <w:t>- 7 -</w:t>
      </w:r>
    </w:p>
    <w:p>
      <w:r>
        <w:t>est, à sa demande, dispensée par l’autorité de recours, son président ou le juge instructeur de payer les frais de procédure (art. 65 al. 1 PA; RS 172.021, applicable par renvoi de l’art. 39 al. 2 let. b LOAP ainsi que de l’art. 12 al. 1 EIMP). Les conclusions sont considérées comme vouées à l’échec lorsque les risques de perdre l’emportent nettement sur les chances de gagner, alors même qu’elles ne seraient pas manifestement mal fondées ou abusives (ar- rêts du Tribunal pénal fédéral RR.2007.176 du 11 décembre 2007 consid. 3; RR.2007.31 du 21 mars 2007 consid. 3).</w:t>
      </w:r>
    </w:p>
    <w:p>
      <w:r>
        <w:t>Dans le cas d'espèce, les conclusions du recourant étaient d'emblée vouées à l’échec. Les motifs fournis à l’appui du recours se sont en effet avérés infondés à la lumière d’un état de fait constant, respectivement de principes juridiques clairs et indiscutés. L’octroi de l’assistance judiciaire doit partant être refusé.</w:t>
      </w:r>
    </w:p>
    <w:p>
      <w:r>
        <w:rPr>
          <w:b/>
        </w:rPr>
        <w:t>E. 7</w:t>
      </w:r>
    </w:p>
    <w:p>
      <w:r>
        <w:t>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 ressé, à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