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 vom 7. Mai 2018</w:t>
      </w:r>
    </w:p>
    <w:p>
      <w:r>
        <w:t>Bundesstrafgericht, 2018-05-07, DE</w:t>
      </w:r>
    </w:p>
    <w:p>
      <w:r>
        <w:rPr>
          <w:b/>
        </w:rPr>
        <w:t xml:space="preserve">Quelle: </w:t>
      </w:r>
      <w:r>
        <w:t>https://mcp.opencaselaw.ch/entscheid/bstger_RR.2018.24</w:t>
      </w:r>
    </w:p>
    <w:p>
      <w:r>
        <w:t>FR: TPF RR.2018.24 du 7 mai 2018</w:t>
      </w:r>
    </w:p>
    <w:p>
      <w:r>
        <w:t>IT: TPF RR.2018.24 del 7 maggio 2018</w:t>
      </w:r>
    </w:p>
    <w:p>
      <w:pPr>
        <w:pStyle w:val="Heading2"/>
      </w:pPr>
      <w:r>
        <w:t>Regeste</w:t>
      </w:r>
    </w:p>
    <w:p>
      <w:r>
        <w:t>Internationale Rechtshilfe in Strafsachen an die Niederlande. Herausgabe von Beweismitteln (Art. 74 IRSG). Unentgeltliche Rechtspflege (Art. 65 VWVG).</w:t>
      </w:r>
    </w:p>
    <w:p>
      <w:pPr>
        <w:pStyle w:val="Heading2"/>
      </w:pPr>
      <w:r>
        <w:t>Erwägungen</w:t>
      </w:r>
    </w:p>
    <w:p>
      <w:r>
        <w:rPr>
          <w:b/>
        </w:rPr>
        <w:t>E. 1.1</w:t>
      </w:r>
    </w:p>
    <w:p>
      <w:r>
        <w:t>Für die Rechtshilfe zwischen der Niederlande und der Schweiz sind in erster Linie das Europäische Übereinkommen über die Rechtshilfe in Strafsachen vom 20. April 1959 (EUeR; SR 0.351.1) sowie die Bestimmungen der Art. 48 ff. des Übereinkommens vom 19. Juni 1990 zur Durchführung des Übereinkommens von Schengen vom 14. Juni 1985 (Schengener Durchfüh- rungsübereinkommen, SDÜ; ABl. L 239 vom 22. September 2000, S. 19–62) massgebend.</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136 IV 82 E. 3.2; 130 II 337 E. 1). Vorbehalten bleibt die Wahrung der Menschenrechte (BGE 135 IV 212 E. 2.3; 123 II 595 E. 7c; ZIM- 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rPr>
          <w:b/>
        </w:rPr>
        <w:t>E. 2.2</w:t>
      </w:r>
    </w:p>
    <w:p>
      <w:r>
        <w:t>Bei dem hier angefochtenen Entscheid handelt es sich um eine Schlussver- fügung der ausführenden kantonalen Behörde in internationalen Rechtshil- feangelegenheiten, gegen welche frist- und formgerecht Beschwerde erho- ben wurde.</w:t>
      </w:r>
    </w:p>
    <w:p>
      <w:r>
        <w:t>- 5 -</w:t>
      </w:r>
    </w:p>
    <w:p>
      <w:r>
        <w:rPr>
          <w:b/>
        </w:rPr>
        <w:t>E. 3.1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(BGE 128 II 211 E. 2.3 S. 217 m.w.H.; statt vieler Entscheid des Bundesstrafgerichts RR.2012.206 vom 19. Dezember 2012 E. 2.2).</w:t>
      </w:r>
    </w:p>
    <w:p>
      <w:r>
        <w:rPr>
          <w:b/>
        </w:rPr>
        <w:t>E. 3.2</w:t>
      </w:r>
    </w:p>
    <w:p>
      <w:r>
        <w:t>Gemäss der Rechtsprechung des Bundesgerichts und Bundesstrafgerichts stellt die Übermittlung von Beweismitteln, die sich im Zeitpunkt des Rechts- hilfeersuchens bereits im Besitz der schweizerischen Untersuchungsbehör- den befinden, keine Zwangsmassnahme dar (BGE 126 II 462 E. 4b S. 464 f.; Urteile des Bundesgerichts 1C_624/2014 vom 18. Februar 2015 E. 1.2 und 1A.89/2005 vom 15. Juli 2005 E. 4.2; je mit Hinweisen; TPF 2007 79; Ent- scheide des Bundesstrafgerichts RR.2011.178 vom 30. Januar 2012 E. 3.2 und RR.2014.217-221 vom 3. März 2015 E. 3.2; GLESS/SCHAFFNER, Basler Kommentar, Internationales Strafrecht, 2015, Art. 21 IRSG N. 65). 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 (s. dazu im Einzelnen Entscheid des Bundesstrafgerichts RR.2012.268 vom 2. Mai 2013 E. 2.2). Das Bundesgericht ist in den Entscheiden 1A.186/2005 und 1A.187/2005 vom 9. Dezember 2005, je E. 1.3.3 auf die Beschwerden der im Rahmen eines nationalen Strafverfahrens einvernommenen Zeugen bzw. einer Auskunftsperson gegen die rechtshilfeweise Herausgabe des Ein- vernahmeprotokolls nicht eingetreten, dies unter anderem mit der Begrün- dung, das Einvernahmeprotokoll hätte sich nicht im Besitz des Beschwerde- führers befunden, er sei folglich nicht gezwungen gewesen, dieses heraus- zugeben, weshalb er im Rechtshilfeverfahren von keiner Massnahme unmit- telbar betroffen sei. Die Beschwerdekammer des Bundesstrafgerichts hat diese Rechtsprechung auch in Bezug auf die Herausgabe des Protokolls der Einvernahme eines Beschuldigten übernommen und die Beschwerdelegiti- mation des Einvernommenen verneint, zumindest in Fällen, wo das Rechts- hilfeersuchen klar nach der Eröffnung des nationalen Strafverfahrens bzw. nach der Einvernahme im Rahmen dieses Strafverfahrens ergangen ist, je- doch anerkannt, dass unter Umständen anders zu entscheiden ist, wenn das</w:t>
      </w:r>
    </w:p>
    <w:p>
      <w:r>
        <w:t>- 6 -</w:t>
      </w:r>
    </w:p>
    <w:p>
      <w:r>
        <w:t>nationale Strafverfahren erst im Anschluss an eine Reihe von Rechtshilfeer- suchen eröffnet wurde und dieses mit dem im ersuchenden Staat hängigen Strafverfahren in einem direkten Zusammenhang steht (Entscheide des Bun- desstrafgerichts RR.2014.234 vom 19. Januar 2015 E. 2.2.2; RR.2013.363 vom 11. März 2014 E. 1.4; RR.2007.17 vom 30. April 2007 E. 1.6.2 sowie der Nichteintretensentscheid des Bundesgerichts 1C.106/2007 vom 21. Mai 2007).</w:t>
      </w:r>
    </w:p>
    <w:p>
      <w:r>
        <w:rPr>
          <w:b/>
        </w:rPr>
        <w:t>E. 3.3</w:t>
      </w:r>
    </w:p>
    <w:p>
      <w:r>
        <w:t>Die erkennungsdienstlichen Unterlagen und Ermittlungsakten, die gemäss der angefochtenen Schlussverfügung den ersuchenden Behörde zu übermit- teln sind, wurden bereits zuvor im schweizerischen Strafverfahren gewonnen oder von den Strafverfolgungsbehörden verfasst, und befanden sich nicht im Besitz des Beschwerdeführers. Das Rechtshilfeersuchen machte hinsichtlich die Herausgabe dieser Unterlagen gegenüber dem Beschwerdeführer keine Zwangsmassnahmen erforderlich. Damit ist der Beschwerdeführer in Bezug auf die vorgenannten Unterlagen lediglich mittelbar betroffen und im Sinne der vorgängigen Erwägungen nicht beschwerdelegitimiert.</w:t>
      </w:r>
    </w:p>
    <w:p>
      <w:r>
        <w:rPr>
          <w:b/>
        </w:rPr>
        <w:t>E. 3.4</w:t>
      </w:r>
    </w:p>
    <w:p>
      <w:r>
        <w:t>Die 14 herauszugebenden Einvernahmeprotokolle des Beschwerdeführers bzw. Protokolle der Konfrontationseinvernahmen, die zwischen 20. Februar 2015 und 8. April 2016 stattfanden (Verfahrensakten, Erledigungsakten, Ordner 1, pag. 01.02.013 bis 01.02.120, 11.01.001 bis 11.01.235, 11.01.258 bis 11.01.273; Erledigungsakten, Ordner 2, pag. 14.01.001 bis 14.03.007) erfolgten im Rahmen des Schweizer Strafverfahrens und haben keinerlei Be- zug zum niederländischen Rechtshilfeersuchen vom 12. Juni 2015. Sämtli- che Aussagen des Beschwerdeführers, welche er anlässlich der vorgenann- ten Einvernahmen gemacht hat, beziehen sich auf das inländische Strafver- fahren wegen den Widerhandlungen gegen das Betäubungsmittelgesetz. Aus den herauszugebenden Protokollen lassen sind weder Fragen noch Ant- worten zu den dem Beschwerdeführer im niederländischen Strafverfahren gemachten Vorwürfen entnehmen. Der Beschwerdeführer bringt diesbezüg- lich auch nichts vor. Damit ist dem Beschwerdeführer in Bezug auf die an die Niederlande herauszugebenden Einvernahmeprotokolle die Beschwerdele- gitimation abzusprechen.</w:t>
      </w:r>
    </w:p>
    <w:p>
      <w:r>
        <w:rPr>
          <w:b/>
        </w:rPr>
        <w:t>E. 3.5</w:t>
      </w:r>
    </w:p>
    <w:p>
      <w:r>
        <w:t>Nach dem Gesagten ist auf die Beschwerde nicht einzutreten.</w:t>
      </w:r>
    </w:p>
    <w:p>
      <w:r>
        <w:rPr>
          <w:b/>
        </w:rPr>
        <w:t>E. 4.1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w:t>
      </w:r>
    </w:p>
    <w:p>
      <w:r>
        <w:t>- 7 -</w:t>
      </w:r>
    </w:p>
    <w:p>
      <w:r>
        <w:t>(Art.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Nach dem oben Ausgeführten muss die vorliegende Beschwerde als offen- sichtlich aussichtslos bezeichnet werden. Folglich ist das Gesuch RP.2018.5 um unentgeltliche Rechtspflege und Rechtsverbeiständung abzuweisen. Bei der Festsetzung der Spruchgebühr kann gemäss Art. 63 Abs. 4bis VwVG der womöglich schwierigen finanziellen Situation des Beschwerdeführers Rech- nung getragen werden.</w:t>
      </w:r>
    </w:p>
    <w:p>
      <w:r>
        <w:rPr>
          <w:b/>
        </w:rPr>
        <w:t>E. 4.2</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