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RR.2018.236 vom 13. November 2018</w:t>
      </w:r>
    </w:p>
    <w:p>
      <w:r>
        <w:t>Bundesstrafgericht, 2018-11-13, IT</w:t>
      </w:r>
    </w:p>
    <w:p>
      <w:r>
        <w:rPr>
          <w:b/>
        </w:rPr>
        <w:t xml:space="preserve">Quelle: </w:t>
      </w:r>
      <w:r>
        <w:t>https://mcp.opencaselaw.ch/entscheid/bstger_RR.2018.236</w:t>
      </w:r>
    </w:p>
    <w:p>
      <w:r>
        <w:t>FR: TPF RR.2018.236 du 13 novembre 2018</w:t>
      </w:r>
    </w:p>
    <w:p>
      <w:r>
        <w:t>IT: TPF RR.2018.236 del 13 novembre 2018</w:t>
      </w:r>
    </w:p>
    <w:p>
      <w:pPr>
        <w:pStyle w:val="Heading2"/>
      </w:pPr>
      <w:r>
        <w:t>Regeste</w:t>
      </w:r>
    </w:p>
    <w:p>
      <w:r>
        <w:t>Assistenza giudiziaria internazionale in materia penale ad Israele. Consegna di mezzi di prova (art. 74 IRSG).</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Israele e la Confedera- zione Svizzera sono anzitutto retti dalla Convenzione europea di assistenza giudiziaria in materia penale del 20 aprile 1959, entrata in vigore il 26 dicembre 1967 per Israele ed il 20 marzo 1967 per la Svizzera (CEAG; RS 0.351.1) e dal Secondo Protocollo addizionale alla CEAG dell'8 novembre 2011, entrato in vi- gore il 1° luglio 2006 per Israele e il 1° febbraio 2005 per la Confederazione Svizzera (RS 0.351.12). Alle questioni che il prevalente diritto internazionale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w:t>
      </w:r>
    </w:p>
    <w:p>
      <w:r>
        <w:t>- 4 -</w:t>
      </w:r>
    </w:p>
    <w:p>
      <w:r>
        <w:t>ordinanza (OAIMP; RS 351.11; v. art. 1 cpv. 1 AIMP; DTF 142 IV 250 consid. 3; 140 IV 123 consid. 2; 137 IV 33 consid. 2.2.2; 136 IV 82 consid. 3.1).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Il ricorrente è titolare delle relazioni bancarie oggetto delle decisioni impugnate ed è di conseguenza legittimato a ricorrere (v. art. 80h lett. b AIMP e art. 9a lett. a OAIMP nonché DTF 137 IV 134 consid. 5.2.1; 130 II 162 consid. 1.1; 128 II 211 consid. 2.3; TPF 2007 79 consid. 1.6 pag. 82).</w:t>
      </w:r>
    </w:p>
    <w:p>
      <w:r>
        <w:rPr>
          <w:b/>
        </w:rPr>
        <w:t>E. 2</w:t>
      </w:r>
    </w:p>
    <w:p>
      <w:r>
        <w:t>Dopo aver ricevuto un invito a versare un anticipo delle spese e un avviso di ricorso in lingua italiana da questo Tribunale, il ricorrente, con scritto del 20 ago- sto 2018 (v. act. 4), ha chiesto che la presente procedura fosse condotta in lingua tedesca. Egli ha inoltre censurato il fatto che la decisione impugnata fosse stata redatta in italiano, visto che i contatti precedenti con il MPC si sa- rebbero svolti in tedesco.</w:t>
      </w:r>
    </w:p>
    <w:p>
      <w:r>
        <w:t>Per quanto riguarda la procedura dinanzi a questa Corte, si rileva che, benché il ricorso sia redatto in lingua tedesca, in virtù dell'art. 33a cpv. 2 PA la presente sentenza viene emessa nella lingua della decisione impugnata, ossia l’italiano. Non vi sono di fatti particolari ragioni per scostarsi da questa regola esplicita- mente prevista dalla legge di procedura qui applicabile. Per quanto attiene alla redazione in italiano della decisione impugnata, la relativa censura, presentata solo il 20 agosto 2018 (v. act. 4), ossia susseguentemente al ricorso, risulta tardiva e quindi inammissibile. Ma fosse anche stata ammissibile, essa sarebbe stata da respingere, dato che, malgrado lo scambio di corrispondenza in lingua tedesca, intervenuto verosimilmente soltanto per facilitare il compito del patro- cinatore del ricorrente, era chiaro sin dall'inizio che la lingua della procedura rogatoriale era l'italiano, ciò che è attestato sia dalla decisione di entrata nel merito del 10 aprile 2017, già redatta in italiano (v. act. 4.4), sia dallo scritto del MPC del 5 febbraio 2018, molto esplicito in tal senso, trasmesso al ricorrente (v. act. 7.1, rubrica 14 incarto MPC; "Darüber hinaus, möchten wir Sie darauf aufmerksam machen, dass die Amtssprache des vorliegenden Rechtshilfever- fahrens Italienisch ist"). Come si evince dal contenuto stesso del ricorso, non vi</w:t>
      </w:r>
    </w:p>
    <w:p>
      <w:r>
        <w:t>- 5 -</w:t>
      </w:r>
    </w:p>
    <w:p>
      <w:r>
        <w:t>è altresì nessun motivo per ritenere che il patrocinatore del ricorrente non sia stato in grado di comprendere la decisione impugnata sia in fatto che in diritto e in ogni caso secondo la giurisprudenza del Tribunale federale da un avvocato attivo nel nostro Paese è lecito pretendere che abbia perlomeno competenze recettive relative alle lingue ufficiali svizzere (v. sentenza del Tribunale federale 1A.235/2003 dell'8 gennaio 2004 consid. 1).</w:t>
      </w:r>
    </w:p>
    <w:p>
      <w:r>
        <w:rPr>
          <w:b/>
        </w:rPr>
        <w:t>E. 3</w:t>
      </w:r>
    </w:p>
    <w:p>
      <w:r>
        <w:t>Il ricorrente sostiene che la decisione impugnata violi il principio della propor- zionalità, nella misura in cui il MPC ha deciso di trasmettere documentazione non richiesta dall'autorità rogante. Il fatto di aver richiesto alla banca F. docu- mentazione, oggetto della decisione impugnata, riguardante altri eventuali conti riconducibili al ricorrente costituirebbe una fishing expedition.</w:t>
      </w:r>
    </w:p>
    <w:p>
      <w:r>
        <w:rPr>
          <w:b/>
        </w:rPr>
        <w:t>E. 3.1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bancaria, in modo tale da chiarire quali siano le persone o entità giuridiche coinvolte (v. DTF 129 II 462 consid. 5.5; 124 II 180 consid. 3c inedito; 121 II 241 consid. 3b e c; sentenze del Tribunale federale 1A.177/2006 del 10 dicembre 2007 consid. 5.5; 1A.227/2006 del 22 feb- braio 2007 consid. 3.2; 1A.195/2005 del 1° settembre 2005 in fine; sentenza del Tribunale penale federale RR.2016.250 del 17 febbraio 2017 consid. 2.1). In base alla giurisprudenza l'esame da parte delle autorità di esecuzione e del giudice dell’assistenza va limitato alla cosiddetta utilità potenziale, secondo cui la consegna giusta l'art. 74 AIMP è esclusa soltanto per quei mezzi di prova certamente privi di rilevanza per il procedimento penale all'estero (DTF 126 II</w:t>
      </w:r>
    </w:p>
    <w:p>
      <w:r>
        <w:t>- 6 -</w:t>
      </w:r>
    </w:p>
    <w:p>
      <w:r>
        <w:t>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elementi con- creti a sostegno dello stesso (DTF 125 II 65 consid. 6b/aa pag. 73 e rinvii). Questo modo di procedere non è consentito in ambito di assistenza internazio- nale sia alla luce del principio della specialità che di quello della proporzionalità. Tale divieto si fonda semplicemente sul fatto che è inammissibile procedere a casaccio nella raccolta delle prove (DTF 113 Ib 257 consid. 5c).</w:t>
      </w:r>
    </w:p>
    <w:p>
      <w:r>
        <w:t>Il principio della proporzionalità impedisce all’autorità rogata di agire "ultra pe- tita", ovvero di andare oltre i provvedimenti postulati dall'autorità richiedente, concedendo allo Stato rogante un’assistenza maggiore di quella richiesta (DTF 116 Ib 96 consid. 5b; 115 Ib 186 consid. 4; 115 Ib 373 consid. 7). Secondo la giurisprudenza questo non impedisce tuttavia di interpretare la commissione rogatoria nel senso che ragionevolmente le si può attribuire, se del caso in ma- niera ampia, a condizione che tutte le condizioni per concedere l'assistenza siano comunque adempiute; si evita così che lo Stato estero sia costretto a presentare domande complementari (DTF 121 II 241 consid. 3; sentenza del Tribunale federale 1A.258/2006 del 16 febbraio 2007 consid. 2.3), creando il rischio di passaggi a vuoto in contrasto con l’obbligo di celerità giusta l’art. 17a AIMP. Alle predette condizioni possono quindi essere trasmessi delle informa- zioni e dei documenti non espressamente menzionati nella domanda di assi- stenza (TPF 2009 161 consid. 5.2; sentenze del Tribunale penale federale RR.2010.39 del 28 aprile 2010 consid. 5.1, e RR.2010.8 del 16 aprile 2010 con- sid. 2.2) ed incombe alla persona toccata dalla misura dimostrare in maniera chiara e precisa perché i documenti e le informazioni in questione vanno oltre il senso che si può ragionevolmente attribuire alla domanda rogatoriale, rispetti- vamente non presentano nessun interesse per la procedura estera.</w:t>
      </w:r>
    </w:p>
    <w:p>
      <w:r>
        <w:rPr>
          <w:b/>
        </w:rPr>
        <w:t>E. 3.2</w:t>
      </w:r>
    </w:p>
    <w:p>
      <w:r>
        <w:t>In concreto, come già rilevato in precedenza (v. Fatti lett. A), il ricorrente è ac- cusato di aver intascato tangenti al fine di favorire D. GmbH nella fornitura di telai a C. Ltd, impresa di trasporti pubblica, denaro oggetto poi di svariate ope- razioni tese a celarne la provenienza criminale. Dinanzi a questo tipo di reati, l'identificazione e l'analisi di tutti i conti bancari riconducibili all'imputato risulta molto importante e la relativa documentazione ha un'utilità potenziale indubbia. L'autorità rogante deve infatti avere la possibilità di analizzare tutti i flussi di denaro ad essi legati. In questo senso, il fatto che il MPC abbia chiesto alla banca F. di trasmettergli la documentazione di tutte le relazioni legate al ricor- rente non presta il fianco a critiche, anche per evitare perdite di tempo derivanti da domande di assistenza complementari. Per tacere comunque del fatto che il MPC ha già potuto identificare transazioni sospette intervenute sulle due rela- zioni oggetto della decisione impugnata concernenti somme di denaro la cui</w:t>
      </w:r>
    </w:p>
    <w:p>
      <w:r>
        <w:t>- 7 -</w:t>
      </w:r>
    </w:p>
    <w:p>
      <w:r>
        <w:t>entità mal si concilierebbe con la situazione del ricorrente in quanto ex dipen- dente statale, ora pensionato (v. act. 1.2 pag. 5 e seg.).</w:t>
      </w:r>
    </w:p>
    <w:p>
      <w:r>
        <w:t>Spetterà comunque al giudice estero del merito valutare se dalla documenta- zione richiesta emerge in concreto una connessione penalmente rilevante fra i fatti oggetto della procedura penale israeliana e detta documentazione. Alla luce della domanda rogatoriale risulta che tutta la documentazione litigiosa è potenzialmente utile per l’inchiesta, motivo per cui la sua trasmissione rispetta il principio della proporzionalità e non costituisce un caso di fishing expedition.</w:t>
      </w:r>
    </w:p>
    <w:p>
      <w:r>
        <w:rPr>
          <w:b/>
        </w:rPr>
        <w:t>E. 4</w:t>
      </w:r>
    </w:p>
    <w:p>
      <w:r>
        <w:t>In definitiva, la decisione impugnata va confermata e il gravame integralmente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