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RR.2018.235 vom 4. Oktober 2018</w:t>
      </w:r>
    </w:p>
    <w:p>
      <w:r>
        <w:t>Bundesstrafgericht, 2018-10-04, DE</w:t>
      </w:r>
    </w:p>
    <w:p>
      <w:r>
        <w:rPr>
          <w:b/>
        </w:rPr>
        <w:t xml:space="preserve">Quelle: </w:t>
      </w:r>
      <w:r>
        <w:t>https://mcp.opencaselaw.ch/entscheid/bstger_RR.2018.235</w:t>
      </w:r>
    </w:p>
    <w:p>
      <w:r>
        <w:t>FR: TPF RR.2018.235 du 4 octobre 2018</w:t>
      </w:r>
    </w:p>
    <w:p>
      <w:r>
        <w:t>IT: TPF RR.2018.235 del 4 ottobre 2018</w:t>
      </w:r>
    </w:p>
    <w:p>
      <w:pPr>
        <w:pStyle w:val="Heading2"/>
      </w:pPr>
      <w:r>
        <w:t>Regeste</w:t>
      </w:r>
    </w:p>
    <w:p>
      <w:r>
        <w:t>Auslieferung an Polen. Auslieferungsentscheid (Art. 55 IRSG). Akzessorisches Haftentlassungsgesuch. Unentgeltliche Rechtspflege (Art. 65 Abs. 1 und 2 VwVG).</w:t>
      </w:r>
    </w:p>
    <w:p>
      <w:pPr>
        <w:pStyle w:val="Heading2"/>
      </w:pPr>
      <w:r>
        <w:t>Erwägungen</w:t>
      </w:r>
    </w:p>
    <w:p>
      <w:r>
        <w:rPr>
          <w:b/>
        </w:rPr>
        <w:t>E. 1.1</w:t>
      </w:r>
    </w:p>
    <w:p>
      <w:r>
        <w:t>Für den Auslieferungsverkehr zwischen der Schweiz und Polen sind primär das Europäische Auslieferungsübereinkommen vom 13. Dezember 1957 (EAUe; SR 0.353.1), die hierzu ergangenen Zusatzprotokolle vom 15. Okto- ber 1975 (ZPI EAUe; SR 0.353.11) und vom 17. März 1978 (ZPII EAUe; SR 0.353.12) sowie das Schengener Durchführungsübereinkommen vom 14. Juni 1985 (SDÜ; ABl. L 239 vom 22. September 2000, S. 19–62) i.V.m. dem Beschluss des Rates vom 12. Juni 2007 über die Einrichtung, den Be- 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und der vorläufigen Auslieferungs- haft ausschliesslich das Recht des ersuchten Staates Anwendung (Art. 22 EAUe), namentlich das Bundesgesetz vom 20. März 1981 über internatio- nale Rechtshilfe in Strafsachen (Rechtshilfegesetz, IRSG; SR 351.1) und die</w:t>
      </w:r>
    </w:p>
    <w:p>
      <w:r>
        <w:t>- 5 -</w:t>
      </w:r>
    </w:p>
    <w:p>
      <w:r>
        <w:t>Verordnung vom 24. Februar 1982 über internationale Rechtshilfe in Straf- sachen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Menschenrechte (BGE 135 IV 212 E. 2.3; 123 II 595 E. 7c; TPF 2016 65 E. 1.2; TPF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Die gegen den Auslieferungsentscheid vom 12. Juli 2018 erhobene Be- schwerde vom 13. August 2018 (Poststempel) erfolgte fristgerecht. Der Be- schwerdeführer ist als Adressat des Auslieferungsentscheides ohne Weite- 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Der Beschwerdeführer macht in einem ersten Punkt geltend, bei den Urteilen des Amtsgerichts Czestochowa vom 28. Oktober 2015 und 28. April 2016 handle es sich um Abwesenheitsurteile. Dabei seien seine Mindestrechte der Verteidigung nicht gewahrt worden.</w:t>
      </w:r>
    </w:p>
    <w:p>
      <w:r>
        <w:rPr>
          <w:b/>
        </w:rPr>
        <w:t>E. 4.2</w:t>
      </w:r>
    </w:p>
    <w:p>
      <w:r>
        <w:t>Ersucht eine Vertragspartei eine andere Vertragspartei um Auslieferung einer Person zur Vollstreckung einer Strafe oder einer sichernden Massnah-</w:t>
      </w:r>
    </w:p>
    <w:p>
      <w:r>
        <w:t>- 6 -</w:t>
      </w:r>
    </w:p>
    <w:p>
      <w:r>
        <w:t>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des internationalen Paktes vom 16. Dezem- ber 1966 über bürgerliche und politische Rechte, UNO-Pakt II; SR 0.103.2). Nach der Rechtsprechung sind die minimalen Verteidigungsrechte des ab- wesenden Angeklagten im Sinne von Art. 3 des 2. ZP jedoch gewahrt und das Abwesenheitsurteil bildet kein Hindernis für die Auslieferung, wenn die- ser an der Gerichtsverhandlung durch einen frei gewählten Verteidiger ver- treten wurde, der an der Verhandlung teilgenommen hat und Anträge stellen konnte (BGE 129 II 56 E. 6.2 am Schluss und E. 6.3 S. 60 f.; Urteil des Bun- desgerichts 1A.261/2006 vom 9. Januar 2007, E. 3.2). Es kann nicht Aufgabe der Rechtshilfebehörden sein, die Wirksamkeit der Verteidigung im Einzel- nen zu überprüfen;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w:t>
      </w:r>
    </w:p>
    <w:p>
      <w:r>
        <w:rPr>
          <w:b/>
        </w:rPr>
        <w:t>E. 4.3</w:t>
      </w:r>
    </w:p>
    <w:p>
      <w:r>
        <w:t>Die polnischen Behörden führen mit Bezug auf die beiden Abwesenheitsur- teile Folgendes aus:</w:t>
      </w:r>
    </w:p>
    <w:p>
      <w:r>
        <w:rPr>
          <w:b/>
        </w:rPr>
        <w:t>E. 4.3.1</w:t>
      </w:r>
    </w:p>
    <w:p>
      <w:r>
        <w:t>Urteil des Amtsgerichts Czestochowa vom 28. Oktober 2015</w:t>
      </w:r>
    </w:p>
    <w:p>
      <w:r>
        <w:t>Die Verhandlung sei zunächst auf dem 18. September 2015 angesetzt wor- den. Der Beschwerdeführer sei auf postalischem Wege vorgeladen worden, allerdings habe er die Vorladung nicht abgeholt. Da der Beschwerdeführer zur Verhandlung vom 18. September 2015 nicht erschienen sei, sei diese auf den 28. Oktober 2015 verschoben worden. Am 7. Oktober 2015 sei dem Beschwerdeführer durch die Polizei die Vorladung mit dem Hinweis, wonach das Urteil auch in seiner Abwesenheit erlassen werden dürfe, ausgehändigt worden. Der Beschwerdeführer sei zur Verhandlung vom 28. Oktober 2015 nicht erschienen. Hingegen habe dessen Pflichtverteidiger, Rechtsanwalt B.,</w:t>
      </w:r>
    </w:p>
    <w:p>
      <w:r>
        <w:t>- 7 -</w:t>
      </w:r>
    </w:p>
    <w:p>
      <w:r>
        <w:t>an der Verhandlung und an der Urteilseröffnung vom gleichen Tag teilge- nommen (act. 4.13.1).</w:t>
      </w:r>
    </w:p>
    <w:p>
      <w:r>
        <w:rPr>
          <w:b/>
        </w:rPr>
        <w:t>E. 4.3.2</w:t>
      </w:r>
    </w:p>
    <w:p>
      <w:r>
        <w:t>Urteil des Amtsgerichts Czestochowa vom 28. April 2016</w:t>
      </w:r>
    </w:p>
    <w:p>
      <w:r>
        <w:t>Die Verhandlung sei zunächst auf den 1. Oktober 2015 angesetzt worden. Zum Verhandlungstermin seien der Beschwerdeführer mit seiner Pflichtver- teidigerin, Rechtsanwältin C., erschienen. Weil daneben auch der Wahlver- teidiger des Beschwerdeführers, Rechtsanwalt D., erschienen sei, habe das Gericht beschlossen, Rechtsanwältin C. von ihrem Amt zu entbinden. Die Verhandlung sei auf den 25. November 2015 verschoben worden. Zu diesem Verhandlungstermin sei einzig der Verteidiger des Beschwerdeführers er- schienen, weshalb die Verhandlung auf den 19. Januar 2016 vertagt worden sei. Da die Vorladung dem Beschwerdeführer nicht habe zugestellt werden können, sei die Polizei mit deren Zustellung beauftragt worden. Diese habe von der Mutter des Beschwerdeführers in Erfahrung bringen können, dass dieser sich nicht mehr am angemeldeten Wohnort aufhalte und dass sein Aufenthaltsort unbekannt sei. Die Vorladung habe somit nicht zugestellt wer- den können, sodass der Beschwerdeführer am Verhandlungstermin vom 19. Januar 2016 nicht erschienen sei. Hingegen sei sein Verteidiger anwesend gewesen. Zu den weiteren Verhandlungsterminen vom 25. Februar 2016 und 21. April 2016 sei der Beschwerdeführer jeweils trotz Vorladung nicht erschienen. Sein Verteidiger sei jedoch stets anwesend gewesen. Zur Ur- teilseröffnung vom 28. April 2016 seien weder der Beschwerdeführer noch dessen Verteidiger erschienen. Das Urteil sei dem Verteidiger des Be- schwerdeführers zugestellt worden. Eine Zustellung des Urteils an den Be- schwerdeführer sei nicht möglich gewesen (act. 4.13.2).</w:t>
      </w:r>
    </w:p>
    <w:p>
      <w:r>
        <w:rPr>
          <w:b/>
        </w:rPr>
        <w:t>E. 4.4</w:t>
      </w:r>
    </w:p>
    <w:p>
      <w:r>
        <w:t>Wie den Urteilen des Amtsgerichts Czestochowa vom 28. Oktober 2015 und 28. April 2016 zu entnehmen ist, wurde der Beschwerdeführer im Zusam- menhang mit beiden Fällen festgenommen, nämlich am 9. März und 9. Ap- ril 2015 (act. 4.6). Er war damit zweifellos über die fraglichen Strafverfahren informiert. Da aus den Urteilen selbst nicht ersichtlich ist, ob der Beschwer- deführer bzw. seine Verteidigung an den Gerichtsverfahren anwesend wa- ren, ersuchte der Beschwerdegegner die polnischen Behörden um diesbe- zügliche Erklärungen (act. 4.11 und 4.12). Aus den ergänzenden Ausführun- gen der polnischen Behörden – auf die ohne Weiteres abgestellt werden kann – ergibt sich, dass der Beschwerdeführer trotz Vorladungen zu den ent- sprechenden Gerichtsverhandlungen vor dem Amtsgerichts Czestochowa nicht erschienen bzw. nur einmal erschienen ist. Hingegen seien stets seine Verteidiger anwesend gewesen (act. 4.13.1 und 4.13.2). Dass es sich im ers- ten Gerichtsverfahren offenbar nicht um einen frei gewählten Verteidiger ge-</w:t>
      </w:r>
    </w:p>
    <w:p>
      <w:r>
        <w:t>- 8 -</w:t>
      </w:r>
    </w:p>
    <w:p>
      <w:r>
        <w:t>handelt haben soll, ändert nichts daran, dass keine Anhaltspunkte dafür be- stehen, der Verteidiger hätte an der Gerichtsverhandlung keine Gelegenheit gehabt, sich zur Sache zu äussern (vgl. auch Entscheid des Bundesstrafge- richts RR.2017.180 vom 5. Oktober 2017 E. 5.3). Im ersten Gerichtsverfah- ren ist sodann der Verteidiger des Beschwerdeführers an der Urteilseröff- nung anwesend gewesen, während im nachfolgenden Verfahren dem Ver- teidiger das Urteil hat zugestellt werden können. Dass die Verteidiger keine Möglichkeit gehabt hätten, zugunsten des Beschwerdeführers ein Rechts- mittel einzulegen, wird weder geltend gemacht noch bestehen Hinweise für eine derartige Annahme. Insgesamt ist somit nicht davon auszugehen, die minimalen Verteidigungsrechte des Beschwerdeführers seien verletzt wor- den. Die Beschwerde erweist sich in diesem Punkt als unbegründet.</w:t>
      </w:r>
    </w:p>
    <w:p>
      <w:r>
        <w:rPr>
          <w:b/>
        </w:rPr>
        <w:t>E. 5.1</w:t>
      </w:r>
    </w:p>
    <w:p>
      <w:r>
        <w:t>In einem weiteren Punkt macht der Beschwerdeführer geltend, im Rahmen des polnischen Widerrufsverfahrens habe das Amtsgericht Czestochowa in grober Art und Weise gegen Art. 6 Ziff. 1 EMRK verstossen (act. 1 S. 10).</w:t>
      </w:r>
    </w:p>
    <w:p>
      <w:r>
        <w:rPr>
          <w:b/>
        </w:rPr>
        <w:t>E. 5.2</w:t>
      </w:r>
    </w:p>
    <w:p>
      <w:r>
        <w:t>Zunächst ist festzuhalten, dass in der unselbständigen, vom ursprünglichen Urteil abhängigen Anordnung der Strafvollstreckung keine zivilrechtliche Streitigkeit zu erblicken ist, die in den Anwendungsbereich des Art. 6 Ziff. 1 EMRK fiele. In strafrechtlichen Angelegenheiten kommt Art. 6 EMRK sodann ohnehin nur in Verfahren zur Anwendung, in welchen "über die Stichhaltig- keit der gegen eine Person erhobenen strafrechtlichen Anklage entschieden wird". Entscheidungen, welche erst nach Rechtskraft der Verurteilung anfal- len, betreffen nicht mehr die Stichhaltigkeit der Anklage. Dies gilt etwa für Verfahren, welche den Widerruf der Strafaussetzung oder die Strafvollstre- ckung zum Gegenstand haben (GOLLWITZER, Menschenrechte im Strafver- fahren MRK und IPBPR, 2005, Art. 6 EMRK N. 41 m.w.H.). Auch Art. 3 Ziff. 1 ZPII EAUe bezieht sich gemäss dem diesbezüglich klaren Wortlaut nur auf das dem Strafurteil vorangehende Verfahren (vgl. die Entscheide des Bun- desstrafgerichts RR.2018.157 vom 21. Juni 2018 E. 5; RR.2017.257 vom 28. November 2017 E. 4.4; RR.2016.264 vom 28. April 2017 E. 3.7; RR.2011.208 vom 8. November 2011 E. 5.2; RR.2008.64 vom 22. Mai 2008 E. 4.5; RR.2007.172 vom 29. November 2007 E. 3.4). Der Schweizer Rechtshilferichter hat damit grundsätzlich nicht zu prüfen, ob im Zusammen- hang mit dem Widerruf der Strafaussetzung allenfalls prozessuale Grund- rechte des Beschwerdeführers missachtet worden sein könnten (vgl. hierzu das Urteil des Bundesgerichts 1A.287/2003 vom 23. Januar 2004 E. 3.2 und den Entscheid des Bundesstrafgerichts RR.2011.208 vom 8. Novem- ber 2011 E. 5.2 m.w.H.).</w:t>
      </w:r>
    </w:p>
    <w:p>
      <w:r>
        <w:t>- 9 -</w:t>
      </w:r>
    </w:p>
    <w:p>
      <w:r>
        <w:rPr>
          <w:b/>
        </w:rPr>
        <w:t>E. 5.3</w:t>
      </w:r>
    </w:p>
    <w:p>
      <w:r>
        <w:t>Die Vorbringen des Beschwerdeführers geben weder Anlass, auf diese Rechtsprechung zurückzukommen, noch Anlass, ausnahmsweise zu prüfen, ob im Zusammenhang mit dem Widerruf der Strafaussetzung allenfalls pro- zessuale Grundrechte des Beschwerdeführers missachtet worden sein könnten. Daran vermag auch das vom Beschwerdeführer angeführte Urteil des Europäischen Gerichtshofs vom 25. Juli 2018 nichts zu ändern. Es geht darin um die Frage, ob die vollstreckende Justizbehörde bei einer echten Gefahr der Verletzung des Grundrechts der betroffenen Person auf ein un- abhängiges Gericht und damit auf ihr Grundrecht auf ein faires Verfahren ausnahmsweise davon absehen kann, einem Europäischen Haftbefehl (un- besehen) Folge zu leisten.</w:t>
      </w:r>
    </w:p>
    <w:p>
      <w:r>
        <w:t>Damit erweist sich die Beschwerde auch in diesem Punkt als unbegründet.</w:t>
      </w:r>
    </w:p>
    <w:p>
      <w:r>
        <w:rPr>
          <w:b/>
        </w:rPr>
        <w:t>E. 6</w:t>
      </w:r>
    </w:p>
    <w:p>
      <w:r>
        <w:t>Andere Gründe, welche einer Auslieferung entgegenstehen könnten, sind weder ersichtlich noch werden solche geltend gemacht. Die Beschwerde ist nach dem Gesagten als offensichtlich unbegründet abzuweisen.</w:t>
      </w:r>
    </w:p>
    <w:p>
      <w:r>
        <w:rPr>
          <w:b/>
        </w:rPr>
        <w:t>E. 7.1</w:t>
      </w:r>
    </w:p>
    <w:p>
      <w:r>
        <w:t>Der Beschwerdeführer beantragt seine Entlassung aus der Auslieferungs- haft (act. 1 S. 3).</w:t>
      </w:r>
    </w:p>
    <w:p>
      <w:r>
        <w:rPr>
          <w:b/>
        </w:rPr>
        <w:t>E. 7.2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Art. 28 Abs. 1 lit. e Ziff. 1 SGG; ZIMMERMANN, a.a.O., S. 327 N. 350 und S. 459 N. 501). Die Beschwerdekammer kann ausnahmsweise im Zu- sammenhang mit einer Beschwerde gegen einen Auslieferungsentscheid in erster Instanz über ein Haftentlassungsgesuch befinden, wenn sich aus ei- ner allfälligen Verweigerung der Auslieferung als unmittelbare Folge auch die Entlassung aus der Auslieferungshaft ergibt und das Haftentlassungsge- such insofern rein akzessorischer Natur ist (Urteil des Bundesgerichts 1A.13/2007 vom 9. März 2007, E. 1.2; Entscheid des Bundesstrafgerichts RR.2008.59 vom 19. Juni 2008, E. 2.2). Der vorliegende Antrag ist demnach als akzessorisches Haftentlassungsgesuch zu betrachten.</w:t>
      </w:r>
    </w:p>
    <w:p>
      <w:r>
        <w:rPr>
          <w:b/>
        </w:rPr>
        <w:t>E. 7.3</w:t>
      </w:r>
    </w:p>
    <w:p>
      <w:r>
        <w:t>Der Beschwerdeführer begründet das Haftentlassungsgesuch damit, dass das gegenwärtige Haftregime – nämlich die Unterbringung im Sicherheits- trakt in der Strafanstalt Lenzburg – unverhältnismässig sei.</w:t>
      </w:r>
    </w:p>
    <w:p>
      <w:r>
        <w:t>- 10 -</w:t>
      </w:r>
    </w:p>
    <w:p>
      <w:r>
        <w:t>Zunächst ist festzuhalten, dass die Auslieferung gewährt werden kann (vgl. supra E. 6), weshalb das Haftentlassungsgesuch grundsätzlich von vornhe- rein abzuweisen ist. Vor diesem Hintergrund könnte selbst die Feststellung, dass der Beschwerdeführer einem unverhältnismässig harten Haftregime untersteht, höchstens dazu führen, dass dieser aus dem Sicherheitstrakt in das normale Haftregime der Auslieferungshaft verlegt würde. Der Beschwer- dekammer liegen jedoch keine Anhaltspunkte vor, die zwingend für eine sol- che (Rück-)Verlegung sprechen würden. Gemäss Art. 20 Abs. 1 IRSV wird die Haft in der Regel nach den Vorschriften des Kantons vollzogen. Das Bun- desamt kann nach Rücksprache mit dem Kanton abweichende Anordnungen treffen, wenn die Umstände dies erfordern. Hafterleichterungen dürfen nur mit vorgängiger Zustimmung des Bundesamtes gewährt werden. Der Be- schwerdeführer war eigenen Angaben gemäss zuerst im Zentralgefängnis Lenzburg untergebracht. Dort habe er – so seine Ausführungen – aus dem Abfallsack in seiner Zelle ein Springseil und aus anderem Material eine Han- tel gebastelt. Die Gefängnisleitung habe befürchtet, der Beschwerdeführer könnte mit seinem handwerklichen Geschick dem Sicherheitsdispositiv des Gefängnisses gefährlich werden (act. 1 S. 15). Bestand offenbar die Be- fürchtung, der Beschwerdeführer könnte sich durch Flucht der Ausliefe- rungshaft entziehen, war die Unterbringung des Beschwerdeführers in den Sicherheitstrakt der Strafanstalt Lenzburg nicht von vornherein unverhältnis- mässig. Es ist unausweichlich, dass eine Verlegung in den Sicherheitstrakt mit Einschränkungen für den Betroffenen gegenüber dem Normalvollzug verbunden ist. Weitere zwingende Gründe, die gegen die Unterbringung im Sicherheitstrakt sprechen, bringt der Beschwerdeführer nicht vor.</w:t>
      </w:r>
    </w:p>
    <w:p>
      <w:r>
        <w:t>Das Haftentlassungsgesuch ist damit abzuweisen.</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w:t>
      </w:r>
    </w:p>
    <w:p>
      <w:r>
        <w:t>- 11 -</w:t>
      </w:r>
    </w:p>
    <w:p>
      <w:r>
        <w:t>Überlegung zu einem Prozess entschliessen würde (BGE 139 III 475 E. 2.2 S. 476 f.; 139 III 396 E. 1.2; 138 III 217 E. 2.2.4).</w:t>
      </w:r>
    </w:p>
    <w:p>
      <w:r>
        <w:rPr>
          <w:b/>
        </w:rPr>
        <w:t>E. 8.2</w:t>
      </w:r>
    </w:p>
    <w:p>
      <w:r>
        <w:t>Nach dem oben Ausgeführten muss die vorliegende Beschwerde als aus- sichtslos bezeichnet werden. Im Wesentlichen handelte es sich hierbei um dieselben Vorbringen, welche der Beschwerdeführer schon vor dem Be- schwerdegegner ins Feld führte und mit welchen sich dieser im Rahmen sei- nes Entscheides in überzeugender Weise auseinandergesetzt hat, ohne zu jeglicher Kritik Anlass zu geben. Allein aus diesem Grund ist das Gesuch um unentgeltliche Rechtspflege abzuweisen. Bei der Festsetzung der Gerichts- gebühr kann gemäss Art. 63 Abs. 4bis VwVG der womöglich schwierigen fi- nanziellen Situation des Beschwerdeführers Rechnung getragen werden.</w:t>
      </w:r>
    </w:p>
    <w:p>
      <w:r>
        <w:rPr>
          <w:b/>
        </w:rPr>
        <w:t>E. 9</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