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RR.2018.231 vom 3. Oktober 2018</w:t>
      </w:r>
    </w:p>
    <w:p>
      <w:r>
        <w:t>Bundesstrafgericht, 2018-10-03, IT</w:t>
      </w:r>
    </w:p>
    <w:p>
      <w:r>
        <w:rPr>
          <w:b/>
        </w:rPr>
        <w:t xml:space="preserve">Quelle: </w:t>
      </w:r>
      <w:r>
        <w:t>https://mcp.opencaselaw.ch/entscheid/bstger_RR.2018.231</w:t>
      </w:r>
    </w:p>
    <w:p>
      <w:r>
        <w:t>FR: TPF RR.2018.231 du 3 octobre 2018</w:t>
      </w:r>
    </w:p>
    <w:p>
      <w:r>
        <w:t>IT: TPF RR.2018.231 del 3 ottobre 2018</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dell'art. 37 cpv. 2 lett. a della legge federale sull'organizzazione delle autorità penali della Confederazione (LOAP; RS 173.71) e dell'art. 25 cpv. 1 della legge federale sull'assistenza internazionale in materia penale (AIMP; RS 351.1), la Corte dei reclami penali del Tribunale penale federale giudica i gra- vami in materia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 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 blicato nella RS ma ora consultabile nel fascicolo "Assistenza e estradizione" edito dalla Cancelleria federale, Berna 2014). Di rilievo nella fattispecie è anche la Convenzione sul riciclaggio, la ricerca, il sequestro e la confisca dei proventi di reato, conclusa a Strasburgo l’8 novembre 1990, entrata in vigore il 1° set- 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pattizio (cosiddetto principio di favore), si applica la legge sull'assistenza in materia penale, unita- mente alla relativa ordinanza (OAIMP; RS 351.11; v. art. 1 cpv. 1 AIMP, art. I n.</w:t>
      </w:r>
    </w:p>
    <w:p>
      <w:r>
        <w:t>- 4 -</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Interposti tempestivamente contro le sopraccitate decisioni di chiusura, i ricorsi sono ricevibili sotto il profilo degli art. 25 cpv. 1, 80e cpv. 1 e 80k AIMP. La ricorrente è titolare delle relazioni bancarie oggetto delle decisioni impugnate ed è di conseguenza legittimata a ricorrere (v. art. 80h lett. b AIMP e art. 9a lett. a OAIMP nonché DTF 137 IV 134 consid. 5.2.1; 130 II 162 consid. 1.1; 128 II 211 consid. 2.3; TPF 2007 79 consid. 1.6 pag. 82).</w:t>
      </w:r>
    </w:p>
    <w:p>
      <w:r>
        <w:rPr>
          <w:b/>
        </w:rPr>
        <w:t>E. 2</w:t>
      </w:r>
    </w:p>
    <w:p>
      <w:r>
        <w:t>Nella misura in cui la ricorrente contesta, con due ricorsi molto simili, due deci- sioni a lei destinate concernenti un medesimo contesto giuridico e fattuale, per motivi di economia processuale si giustifica di procedere alla congiunzione delle cause in questione e di pronunciare un unico giudizio (in questo ambito v. DTF 126 V 283 consid. 1; sentenza del Tribunale federale 1C_89-93/2012 del 9 feb- braio 2012 consid. 1; BOVAY, Procédure administrative, 2a ediz. 2015, pag. 606; KÖLZ/HÄNER/BERTSCHI, Verwaltungsverfahren und Verwaltungsrechtspflege des Bundes, 3a ediz. 2013, n. 927).</w:t>
      </w:r>
    </w:p>
    <w:p>
      <w:r>
        <w:rPr>
          <w:b/>
        </w:rPr>
        <w:t>E. 3</w:t>
      </w:r>
    </w:p>
    <w:p>
      <w:r>
        <w:t>La ricorrente sostiene innanzitutto che l'autorità rogata non si sarebbe attenuta a quanto richiesto dall'autorità estera, la quale, nel suo complemento del 6 no- vembre 2017, avrebbe postulato la trasmissione della documentazione del conto corrente (c/c) numerato 3 e non quella relativa alla relazione n. 4 presso la banca G. Per quanto attiene al bonifico proveniente da H. SA (società del gruppo A. SA), messo in evidenza dal MPC, di cui la relazione n. 4 avrebbe beneficiato, nella misura in cui H. SA non sarebbe minimamente toccata dalla rogatoria, l'utilità della documentazione litigiosa farebbe difetto. La ricorrente giunge alla medesima conclusione per quanto concerne la documentazione re- lativa alla relazione n. 2 presso la banca E., nonostante i versamenti, messi in evidenza dal MPC, effettuati da quest'ultima relazione a favore di un conto in- testato a I. SA, società che non sarebbe menzionata nei fatti della commissione</w:t>
      </w:r>
    </w:p>
    <w:p>
      <w:r>
        <w:t>- 5 -</w:t>
      </w:r>
    </w:p>
    <w:p>
      <w:r>
        <w:t>rogatoria. L'autorità rogata sarebbe del resto già in possesso della documenta- zione bancaria relativa al conto in questione di I. SA. Essa aggiunge inoltre di non essere imputata nel procedimento estero, come asserito dal MPC. In defi- nitiva, la ricorrente afferma che le decisioni di chiusura impugnate sarebbero lesive del principio della proporzionalità e del divieto di fishing expedition.</w:t>
      </w:r>
    </w:p>
    <w:p>
      <w:r>
        <w:rPr>
          <w:b/>
        </w:rPr>
        <w:t>E. 3.1</w:t>
      </w:r>
    </w:p>
    <w:p>
      <w:r>
        <w:t>Il principio della proporzionalità esige che vi sia una connessione fra la docu- mentazione richiesta e il procedimento estero (DTF 130 II 193 consid. 4.3; 139 II 404 consid. 7.2.2; 136 IV 82 consid. 4.1/4.4; 129 II 462 consid. 5.3; 122 II 367 consid. 2c; sentenza del Tribunale penale federale RR.2016.257 del 26 maggio 2017 consid. 4.3.1), tuttavia la questione di sapere se le informazioni richieste nell'ambito di una domanda di assistenza siano necessarie o utili per il procedi- mento estero deve essere lasciata, di massima, all'apprezzamento delle auto- rità richiedenti (sentenza del Tribunale penale federale RR.2017.146 del 4 ago- sto 2017 consid. 2.1). Lo Stato richiesto non dispone infatti dei mezzi per pro- nunciarsi sull'opportunità di assumere determinate prove e non può sostituirsi in questo compito all'autorità estera che conduce le indagini (DTF 132 II 81 con- sid. 2.1 e rinvii). La richiesta di assunzione di prove può essere rifiutata solo se il principio della proporzionalità è manifestamente disatteso (DTF 120 Ib 251 consid. 5c; sentenza del Tribunale penale federale RR.2017.21 dell’8 maggio 2017 consid. 3.1 e rinvii) o se la domanda appare abusiva, le informazioni ri- chieste essendo del tutto inidonee a far progredire le indagini (DTF 122 II 134 consid. 7b; 121 II 241 consid. 3a; sentenza del Tribunale penale federale RR.2017.21 dell’8 maggio 2017 consid. 3.1 e rinvii). Inoltre, da consolidata prassi, quando le autorità estere chiedono informazioni per ricostruire flussi pa- trimoniali di natura criminale si ritiene che necessitino di regola dell’integralità della relativa documentazione, in modo tale da chiarire quali siano le persone o entità giuridiche coinvolte (v. DTF 129 II 462 consid. 5.5; 124 II 180 consid. 3c inedito; 121 II 241 consid. 3b e c; sentenze del Tribunale federale 1A.177/2006 del 10 dicembre 2007 consid. 5.5; 1A.227/2006 del 22 febbraio 2007 consid. 3.2; 1A.195/2005 del 1° settembre 2005 in fine; sentenza del Tribunale penale federale RR.2016.250 del 17 febbraio 2017 consid. 2.1). La trasmissione dell'in- tera documentazione potrà evitare altresì l'inoltro di eventuali domande comple- mentari (DTF 136 IV 82 consid. 4.1; 121 II 241 consid. 3; sentenza del Tribunale federale 1C_486/2008 dell'11 novembre 2008 consid. 2.4; sentenza del Tribu- nale penale federale RR.2011.113 del 28 luglio 2011 consid. 4.2). In base alla giurisprudenza l'esame da parte delle autorità di esecuzione e del giudice dell’assistenza va limitato alla cosiddetta utilità potenziale, secondo cui la con- segna giusta l'art. 74 AIMP è esclusa soltanto per quei mezzi di prova certa- mente privi di rilevanza per il procedimento penale all'estero (DTF 126 II 258 consid. 9c; 122 II 367 consid. 2c; 121 II 241 consid. 3a e b; TPF 2010 73 consid. 7.1). Vietata in particolare è la cosiddetta fishing expedition, la quale è definita dalla giurisprudenza una ricerca generale ed indeterminata di mezzi di prova volta a fondare un sospetto senza che esistano pregressi elementi concreti a</w:t>
      </w:r>
    </w:p>
    <w:p>
      <w:r>
        <w:t>- 6 -</w:t>
      </w:r>
    </w:p>
    <w:p>
      <w:r>
        <w:t>sostegno dello stesso (DTF 125 II 65 consid. 6b/aa pag. 73 e rinvii). Questo modo di procedere non è consentito in ambito di assistenza internazionale sia alla luce del principio della specialità che di quello della proporzionalità. Tale divieto si fonda semplicemente sul fatto che è inammissibile procedere a casac- cio nella raccolta delle prove (DTF 113 Ib 257 consid. 5c).</w:t>
      </w:r>
    </w:p>
    <w:p>
      <w:r>
        <w:t>Il principio della proporzionalità impedisce all’autorità rogata di agire "ultra pe- tita", ovvero di andare oltre i provvedimenti postulati dall'autorità richiedente, concedendo allo Stato rogante un’assistenza maggiore di quella richiesta (co- siddetto "Übermassverbot", DTF 116 Ib 96 consid. 5b; 115 Ib 186 consid. 4; 115 Ib 373 consid. 7). Secondo la giurisprudenza questo non impedisce tuttavia di interpretare la commissione rogatoria nel senso che ragionevolmente le si può attribuire, se del caso in maniera ampia, a condizione che tutte le condizioni per concedere l'assistenza siano comunque adempiute; si evita così che lo Stato estero sia costretto a presentare domande complementari (DTF 121 II 241 con- sid. 3; sentenza del Tribunale federale 1A.258/2006 del 16 febbraio 2007 con- sid. 2.3), creando il rischio di passaggi a vuoto in contrasto con l’obbligo di ce- lerità giusta l’art. 17a AIMP. Alle predette condizioni possono quindi essere tra- smessi delle informazioni e dei documenti non espressamente menzionati nella domanda di assistenza (TPF 2009 161 consid. 5.2; sentenze del Tribunale pe- nale federale RR.2010.39 del 28 aprile 2010 consid. 5.1, e RR.2010.8 del 16 aprile 2010 consid. 2.2) ed incombe alla persona toccata dalla misura dimo- strare in maniera chiara e precisa perché i documenti e le informazioni in que- stione vanno oltre il senso che si può ragionevolmente attribuire alla domanda rogatoriale, rispettivamente non presentano nessun interesse per la procedura estera.</w:t>
      </w:r>
    </w:p>
    <w:p>
      <w:r>
        <w:rPr>
          <w:b/>
        </w:rPr>
        <w:t>E. 3.2</w:t>
      </w:r>
    </w:p>
    <w:p>
      <w:r>
        <w:t>In concreto, si rileva innanzitutto che, a prescindere dal suo statuto d'imputata o meno nell'ambito del procedimento estero, la ricorrente è la società holding del gruppo C. S.p.A. nonché la beneficiaria economica dei conti correnti da cui sarebbero partiti i pagamenti corruttivi (v. complemento rogatoriale del 6 no- vembre 2017, pag. 1, in rubrica 1 incarto MPC), per cui, alla luce del ruolo con- testatogli e della natura dei reati perseguiti, i conti a lei riconducibili risultano essere di indubbio rilievo investigativo e la relativa documentazione potenzial- mente utile per il procedimento estero. Che la relazione n. 4 non sia menzionata nella rogatoria nulla toglie alla potenziale utilità della relativa documentazione bancaria e il modo di procedere del MPC non presta il fianco a critiche, dato che esso è anche finalizzato a evitare perdite di tempo legate a domande com- plementari. Neppure rilevante ai fini del giudizio è il fatto che l'autorità rogante sarebbe già in possesso della documentazione bancaria concernente conti di I. SA. Come rilevato dal MPC, la relazione bancaria n. 2 la banca E. ha alimentato con un importo di USD 105'000.–, in data 8 aprile 2010, la relazione intestata a I. SA presso la banca J., a New York, e, in data 5 agosto 2010, con un importo di complessivi USD 15 milioni, la relazione bancaria intestata a I. SA presso la</w:t>
      </w:r>
    </w:p>
    <w:p>
      <w:r>
        <w:t>- 7 -</w:t>
      </w:r>
    </w:p>
    <w:p>
      <w:r>
        <w:t>banca E., i cui beneficiari economici risultavano essere A. SA e componenti della famiglia K. (v. RR.2018.232, act. 7.1, rubrica 5, doc. B05.102.002.01.D- 0025, 0072 e 0076). Inoltre, nel periodo in cui sarebbero stati commessi i reati corruttivi oggetto d'indagine, la relazione n. 2 avrebbe alimentato la relazione intestata a I. SA, la quale risulterebbe aver alimentato a sua volta relazioni ban- carie intestate a L. Inc. e M. SA, società menzionate in rogatoria, verosimil- mente utilizzate per veicolare valori che sarebbero stati successivamente desti- nati a operazioni corruttive. A prescindere dunque da quanto sarebbe già in possesso dell'autorità rogante, è indubbio che questa debba disporre dell'inte- gralità della relativa documentazione bancaria.</w:t>
      </w:r>
    </w:p>
    <w:p>
      <w:r>
        <w:t>Spetterà comunque al giudice estero del merito valutare se dalla documenta- zione inoltrata emerge in concreto una connessione penalmente rilevante fra i fatti oggetto della procedura penale in Italia e detta documentazione. Alla luce della domanda rogatoriale risulta che tutta la documentazione litigiosa è poten- zialmente utile per l’inchiesta, motivo per cui la sua trasmissione rispetta il prin- cipio della proporzionalità e non costituisce un'inammissibile fishing expedition.</w:t>
      </w:r>
    </w:p>
    <w:p>
      <w:r>
        <w:rPr>
          <w:b/>
        </w:rPr>
        <w:t>E. 4</w:t>
      </w:r>
    </w:p>
    <w:p>
      <w:r>
        <w:t>In definitiva, le decisioni impugnate vanno confermate e i gravami integralmente respinti.</w:t>
      </w:r>
    </w:p>
    <w:p>
      <w:r>
        <w:rPr>
          <w:b/>
        </w:rPr>
        <w:t>E. 5</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6’000.–; essa è coperta dai due anticipi delle spese già versati di fr. 5'000.– cadauno. La Cassa del Tribunale penale federale resti- tuirà alla ricorrente il saldo di fr. 4'000.–.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