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RR.2018.227 vom 2. Oktober 2018</w:t>
      </w:r>
    </w:p>
    <w:p>
      <w:r>
        <w:t>Bundesstrafgericht, 2018-10-02, DE</w:t>
      </w:r>
    </w:p>
    <w:p>
      <w:r>
        <w:rPr>
          <w:b/>
        </w:rPr>
        <w:t xml:space="preserve">Quelle: </w:t>
      </w:r>
      <w:r>
        <w:t>https://mcp.opencaselaw.ch/entscheid/bstger_RR.2018.227</w:t>
      </w:r>
    </w:p>
    <w:p>
      <w:r>
        <w:t>FR: TPF RR.2018.227 du 2 octobre 2018</w:t>
      </w:r>
    </w:p>
    <w:p>
      <w:r>
        <w:t>IT: TPF RR.2018.227 del 2 ottobre 2018</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Ebenso anwendbar ist das Übereinkommen vom 8. Novem- ber 1990 über Geldwäscherei sowie Ermittlung, Beschlagnahme und Einzie- hung von Erträgen aus Straftaten (Geldwäschereiübereinkommen, GwUe; SR 0.311.53). Überdies gelangen die Bestimmungen der Art. 48 ff. des Über- einkommens vom 19. Juni 1990 zur Durchführung des Übereinkommens von Schengen vom 14. Juni 1985 (Schengener Durchführungsübereinkommen, SDÜ; ABl. L 239 vom 22. September 2000, S. 19–62) zur Anwendung.</w:t>
      </w:r>
    </w:p>
    <w:p>
      <w:r>
        <w:rPr>
          <w:b/>
        </w:rPr>
        <w:t>E. 1.2</w:t>
      </w:r>
    </w:p>
    <w:p>
      <w:r>
        <w:t>Soweit die Übereinkommen und das Zusatzprotokoll bestimmte Fragen we- der ausdrücklich noch stillschweigend regeln, bzw. das schweizerische Lan- desrecht geringere Anforderungen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Verordnung vom 24. Februar 1982 (IRSV; SR 351.11) an- wendbar (Art. 1 Abs. 1 IRSG; BGE 143 IV 91 E. 1.3; 136 IV 82 E. 3.2; 130 II 337 E. 1; vgl. auch Art. 54 StPO). Vorbehalten bleibt die Wahrung der Men- schenrechte (BGE 139 II 65 E. 5.4; 135 IV 212 E. 2.3; 123 II 595 E. 7c; TPF 2008 24 E. 1.1; ZIMMERMANN, a.a.O., N. 211 ff., 223 ff., 681 ff.).</w:t>
      </w:r>
    </w:p>
    <w:p>
      <w:r>
        <w:rPr>
          <w:b/>
        </w:rPr>
        <w:t>E. 1.3</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t>- 4 -</w:t>
      </w:r>
    </w:p>
    <w:p>
      <w:r>
        <w:rPr>
          <w:b/>
        </w:rPr>
        <w:t>E. 2.1</w:t>
      </w:r>
    </w:p>
    <w:p>
      <w:r>
        <w:t>Nach dem Grundsatz der Prozessökonomie sind Verfahren möglichst ein- fach, rasch und zweckmässig zum Abschluss zu bringen (BGE 126 V 283 E. 1 S. 285; Urteile des Bundesgerichts 6S.709/2000 und 6S.710/2000 vom 26. Mai 2003 E. 1; 1A.60-62/2000 vom 22. Juni 2000 E. 1a; Entscheide des Bundesstrafgerichts RR.2016.245 vom 19. Mai 2017 E. 2.1; RR.2016.332 vom 16. März 2017 E. 2; je m.w.H). Es steht im Ermessen des Gerichts, Verfahren nach diesem Grundsatz zu vereinen (Beschluss des Bundesstraf- gerichts BV.2014.13, BV.2014.22, BP.2014.27 vom 15. September 2014 E. 1).</w:t>
      </w:r>
    </w:p>
    <w:p>
      <w:r>
        <w:rPr>
          <w:b/>
        </w:rPr>
        <w:t>E. 2.2</w:t>
      </w:r>
    </w:p>
    <w:p>
      <w:r>
        <w:t>Die angefochtenen Schlussverfügungen gehen auf dasselbe Rechtshilfeer- suchen der StA Lissabon vom 7. März 2017 zurück. Die beinahe gleichlau- tenden Beschwerden des Beschwerdeführers werfen im Wesentlichen die- selben Rechtsfragen auf. Daher rechtfertigt es sich, die Beschwerdeverfah- ren RR.2018.227, RR.2018.228 und RR.2018.229 zu vereinigen und mit einem einzigen Entscheid zu erledigen.</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rPr>
          <w:b/>
        </w:rPr>
        <w:t>E. 3.2</w:t>
      </w:r>
    </w:p>
    <w:p>
      <w:r>
        <w:t>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beschlagnahmt wurden (BGE 130 II 162 E. 1.1; 123 II 161 E. 1d; 116 Ib 106 E. 2a). Persönlich und direkt betroffen ist nur, wer sich in der Schweiz selber einer bestimmten Rechtshilfemassnahme zu unterwerfen hat (BGE 116 Ib 106 E. 2a).</w:t>
      </w:r>
    </w:p>
    <w:p>
      <w:r>
        <w:t>Bloss wirtschaftlich an einem Bankkonto, Banksafe oder Wertschriftendepot Berechtigte sind im Gegensatz zu deren Inhaber grundsätzlich nicht legiti- miert, Rechtshilfemassnahmen anzufechten, welche die Bankverbindung</w:t>
      </w:r>
    </w:p>
    <w:p>
      <w:r>
        <w:t>- 5 -</w:t>
      </w:r>
    </w:p>
    <w:p>
      <w:r>
        <w:t>betreffen (BGE 139 II 404 E. 2.1.1 S. 411 f. m.w.H.; Urteil des Bundesge- richts 1C_764/2013 vom 27. September 2013 E. 2.1; TPF 2008 172 E. 1.3). Eine Ausnahme lässt die Praxis zu, falls einzige Kontoinhaberin eine juristi- sche Person war, die aufgelöst worden ist, und zudem keine Anhaltspunkte dafür bestehen, dass die Liquidation dieser Gesellschaft nur vorgeschoben wird bzw. rechtsmissbräuchlich erfolgte (BGE 137 IV 134 E. 5.2.1 S. 138 m.w.H.). In einem solchen Falle muss der wirtschaftlich an einer erloschenen Gesellschaft Berechtigte insbesondere nachweisen, dass er Begünstigter des Erlöses aus der Liquidation dieser Gesellschaft war. Die wirtschaftliche Berechtigung am fraglichen Konto alleine reicht zur Bejahung der Beschwer- delegitimation nicht aus (Urteil des Bundesgerichts 1C_370/2012 vom 3. Ok- tober 2012 E. 2.3; TPF 2009 183 E. 2.2.1; Entscheid des Bundesstrafgerichts RR.2014.244 vom 9. Januar 2015 E. 1.3.1).</w:t>
      </w:r>
    </w:p>
    <w:p>
      <w:r>
        <w:rPr>
          <w:b/>
        </w:rPr>
        <w:t>E. 3.3</w:t>
      </w:r>
    </w:p>
    <w:p>
      <w:r>
        <w:t>Bei den hier angefochtenen Entscheiden handelt es sich um Schlussverfü- gungen der ausführenden Bundesbehörde in internationalen Rechtshilfean- gelegenheiten. Die von der Rechtshilfemassnahme betroffenen Konten Nr. 3 bei der Bank F. und Konto Nr. 4 bei der Bank E. lauten auf den Beschwer- deführer (Verfahrensakten, Urk. B05-101-001-01-E-0001 und B05-102-003- 01-01-0001), weshalb er diesbezüglich zur Erhebung der vorliegenden Be- schwerden legitimiert ist. Das Konto Nr. 2 bei der Bank E. lautet hingegen auf die D. Inc. (Verfahrensakten, Urk. B05-102-002-01-01-0001), die seit 2015 nicht mehr existiert. Der Beschwerdeführer vermochte den Nachweis seiner diesbezüglichen Beschwerdelegitimation zu erbringen (Verfahrensak- ten, Schreiben RA Solari vom 16. Februar 2018). Damit ist auf die im Übrigen form- und fristgerecht erhobenen Beschwerden einzutreten.</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t>- 6 -</w:t>
      </w:r>
    </w:p>
    <w:p>
      <w:r>
        <w:rPr>
          <w:b/>
        </w:rPr>
        <w:t>E. 5.1</w:t>
      </w:r>
    </w:p>
    <w:p>
      <w:r>
        <w:t>Der Beschwerdeführer rügt in formeller Hinsicht eine Verletzung seines An- spruchs auf rechtliches Gehör. Er bringt im Wesentlichen vor, die Beschwer- degegnerin habe ihn zur Triage der herauszugebenden Bankunterlagen nicht eingeladen. Zudem habe sie beim Erlass der Schlussverfügungen seine im Schreiben vom 22. März 2018 geltend gemachten Vorbringen nicht berücksichtigt (RR.2018.227 und RR.2018.229, je act. 1, S. 7 ff.; RR.2018.228, act. 1, S. 8 ff.).</w:t>
      </w:r>
    </w:p>
    <w:p>
      <w:r>
        <w:rPr>
          <w:b/>
        </w:rPr>
        <w:t>E. 5.2</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 gust 2016 E. 4.2.1 m.w.H.).</w:t>
      </w:r>
    </w:p>
    <w:p>
      <w:r>
        <w:t>Gemäss Art. 30 Abs. 1 VwVG hört die Behörde die Parteien an, bevor sie verfügt. Konkret muss die ausführende Behörde dem gemäss Art. 80h lit. b IRSG und Art. 9a lit. a IRSV Berechtigten zur Wahrung des rechtlichen Ge- hörs vorgängig an den Erlass der Schlussverfügung auf konkrete und wir- kungsvolle Weise die Gelegenheit geben, sich zum Rechtshilfeersuchen zu äussern. Bezieht sich das Rechtshilfeersuchen auf die Herausgabe von Bankunterlagen oder anderen Beweismitteln, muss die ausführende Be- hörde dem gemäss Art. 80h lit. b IRSG und Art. 9a IRSV Berechtigten vor- gängig an den Erlass der Schlussverfügung insbesondere die Gelegenheit geben, sich zum Rechtshilfeersuchen zu äussern und unter Angabe der Gründe geltend zu machen, welche Unterlagen etwa in Anwendung des Ver- hältnismässigkeitsprinzips nicht herauszugeben sind (vgl. Art. 30 Abs. 1 VwVG; BGE 130 II 14 E. 4.3 S. 16; 126 II 258 E. 9b/aa S. 262). Das geschieht in aller Regel durch die Zustellung einer Eintretens- oder Zwischenverfü- gung, die den Berechtigten Gelegenheit gibt, von sich aus ihre Einwände gegen die Gewährung oder den Umfang der Rechtshilfe vorzubringen (un- veröffentlichtes Urteil des Bundesgerichts i.S. P. vom 29. August 1997 E. 4b). Aus dem Anspruch auf rechtliches Gehör fliesst auch das Recht des Berechtigten auf Teilnahme an der Aussonderung der beschlagnahmten Un- terlagen, welche an die ersuchende Behörde herauszugeben sind (BGE 126 II 258 E. 9b/aa). In diesem Zusammenhang genügt es, wenn den Berechtig- ten Gelegenheit gegeben wird, sich schriftlich zur Aussonderung zu äussern</w:t>
      </w:r>
    </w:p>
    <w:p>
      <w:r>
        <w:t>- 7 -</w:t>
      </w:r>
    </w:p>
    <w:p>
      <w:r>
        <w:t>(Urteil des Bundesgerichts 1A.228/2006 vom 11. Dezember 2006 E. 3.2, m.H.).</w:t>
      </w:r>
    </w:p>
    <w:p>
      <w:r>
        <w:t>Das Recht angehört zu werden ist formeller Natur, weshalb dessen Verlet- zung ungeachtet der Erfolgsaussichten der Beschwerde in der Sache selbst grundsätzlich zur Aufhebung der angefochtenen Verfügung führt. Vorbehal- ten bleiben praxisgemäss Fälle, in denen die Verletzung des Akteneinsichts- rechts nicht besonders schwer wiegt und dadurch geheilt wird, dass die Par- tei, deren rechtliches Gehör verletzt wurde, sich vor einer Instanz äussern kann, welche sowohl die Tat- als auch die Rechtsfragen uneingeschränkt überprüft (BGE 115 V 297 E. 2h S. 305 m.H.).</w:t>
      </w:r>
    </w:p>
    <w:p>
      <w:r>
        <w:rPr>
          <w:b/>
        </w:rPr>
        <w:t>E. 5.3</w:t>
      </w:r>
    </w:p>
    <w:p>
      <w:r>
        <w:t>Infolge des Akteneinsichtsgesuchs des Beschwerdeführers vom 28. Novem- ber 2017 und 18. Dezember 2017 stellte die Beschwerdegegnerin dem Rechtsvertreter des Beschwerdeführers am 20. Dezember 2017 das Rechts- hilfeersuchen sowie die Editionsverfügungen vom 27. Oktober 2017 und 23. November 2017 zu (Verfahrensakten, Schreiben RA Solari vom 28. No- vember und 18. Dezember 2017). Von der Eintretensverfügung vom 9. Ok- tober 2017 und der Editionsverfügungen vom 3. November 2017 hatte der Rechtsvertreter des Beschwerdeführers zu diesem Zeitpunkt bereits Kennt- nis. Am 4. Januar 2018, 9. Februar 2018 und 1. März 2018 wurden dem Rechtsvertreter unter anderem die den Beschwerdeführer und die D. Inc. betreffenden Bankunterlagen übermittelt und mitgeteilt, welche Unterlagen die Beschwerdegegnerin an die ersuchende Behörde zu übermitteln beab- sichtigt. Zugleich wies die Beschwerdegegnerin den Rechtsvertreter darauf hin, dass im Falle des Ausbleibens einer Antwort hinsichtlich der vereinfach- ten Ausführung gemäss Art. 80c IRSG aufgrund der Akten entschieden und eine Schlussverfügung erlassen werde (Verfahrensakten, Schreiben BA vom 4. Januar 2018; Schreiben BA vom 9. Februar 2018; Schreiben BA vom 1. März 2018). In der Folge liess sich der Beschwerdeführer mit Schreiben vom 22. März 2018 vernehmen und erklärte sich mit der Herausgabe der Unterlagen an die portugiesischen Behörden nicht einverstanden (Verfah- rensakten, Schreiben RA Solari vom 22. März 2018).</w:t>
      </w:r>
    </w:p>
    <w:p>
      <w:r>
        <w:rPr>
          <w:b/>
        </w:rPr>
        <w:t>E. 5.4</w:t>
      </w:r>
    </w:p>
    <w:p>
      <w:r>
        <w:t>Gestützt auf das soeben Ausgeführte hatte der Beschwerdeführer in das Er- suchen sowie in die von der Herausgabe betroffenen Bankunterlagen Ein- sicht erhalten. Mit Schreiben vom 22. März 2018 liess er sich hierzu verneh- men und gab an, welche Bankunterlagen seiner Ansicht nach herausgege- ben werden dürfen und welche nicht (Verfahrensakten, Schreiben RA Solari vom 22. März 2018). Die Beschwerdegegnerin nahm in der angefochtenen Verfügung auf die im Schreiben vom 22. März 2018 vorgebachten Rügen Stellung und erachtete diese unter Verweis auf die bundesgerichtliche und bundesstrafgerichtliche Rechtsprechung als unbegründet (RR.2018.227-</w:t>
      </w:r>
    </w:p>
    <w:p>
      <w:r>
        <w:t>- 8 -</w:t>
      </w:r>
    </w:p>
    <w:p>
      <w:r>
        <w:t>229, je act. 1.1). Unter diesen Umständen ist eine Verletzung des rechtlichen Gehörs nicht zu erkennen. Die Rüge geht fehl.</w:t>
      </w:r>
    </w:p>
    <w:p>
      <w:r>
        <w:rPr>
          <w:b/>
        </w:rPr>
        <w:t>E. 6.1</w:t>
      </w:r>
    </w:p>
    <w:p>
      <w:r>
        <w:t>In materieller Hinsicht macht der Beschwerdeführer eine Verletzung des Ver- hältnismässigkeitsprinzips geltend (RR.2018.227 und RR.2018.229, je act. 1, S. 10 ff.; RR.2018.228, act. 1, S. 11 ff.).</w:t>
      </w:r>
    </w:p>
    <w:p>
      <w:r>
        <w:rPr>
          <w:b/>
        </w:rPr>
        <w:t>E. 6.2</w:t>
      </w:r>
    </w:p>
    <w:p>
      <w:r>
        <w:t>Rechtshilfemassnahmen haben generell dem Prinzip der Verhältnismässig- keit zu genügen (ZIMMERMANN, a.a.O., N. 717 ff., mit Verweisen auf die Rechtsprechung; DONATSCH/HEIMGARTNER/MEYER/SIMONEK, Internationale Rechtshilfe, 2. Aufl. 2015, S. 92 ff.; POPP, Grundzüge der internationalen Rechtshilfe in Strafsachen, 2001, N. 404; siehe statt vieler den Entscheid des Bundesstrafgerichts RR.2011.193 vom 9. Juli 2012 E. 8.2). Die interna- 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Ermessen der Behörden dieses Staates anheimgestellt ist. Der ersuchte Staat ist verpflichtet, dem ersuchen- 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w:t>
      </w:r>
    </w:p>
    <w:p>
      <w:r>
        <w:t>- 9 -</w:t>
      </w:r>
    </w:p>
    <w:p>
      <w:r>
        <w:t>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Die portugiesischen Behörden werfen dem Beschwerdeführer im Wesentli- chen vor, er habe B. und C., für ihre Unterstützung im Zusammenhang mit der Erteilung des Zuschlags an die G. AG, erkenntlich gezeigt. Der Be- schwerdeführer habe zu ihnen, als Mitglieder der Untersuchungskommission für Angebote bezüglich der Ausschreibung […] und […] zum Erwerb von menschlichen Plasmaprodukten enge Beziehungen und gemeinsame Inte- ressen gepflegt. Der G. AG, deren Verwaltungsrat der Beschwerdeführer sei, sei durch den Zuschlag ermöglicht worden, aufgrund der Lieferung von menschlichen Plasmaprodukten sehr hohe Gewinne zu erwirtschaften. Hier- für soll der Beschwerdeführer B. im Zeitraum von 2000 bis 2015 eine Maiso- nettewohnung in Porto geschenkt, eine Wohnung in Lissabon und einen Audi A5 kostenlos zur Verfügung gestellt sowie diverse Reisen und Aufent- halte in Hotels bezahlt haben. Des Weiteren soll der Beschwerdeführer B. und C. im Jahr 2008 diverse Geldbeträge von seinen persönlichen Konten bzw. der von ihm beherrschen H. bei der Bank F. und der Bank E. überwie- sen haben (Verfahrensakten, Rechtshilfeersuchen vom 7. März 2018, S. 4 ff.).</w:t>
      </w:r>
    </w:p>
    <w:p>
      <w:r>
        <w:t>Die von der Herausgabe betroffenen Bankunterlagen, namentlich Kontoer- öffnungsunterlagen, Kundenkorrespondenz sowie Kontoauszüge (inkl. De- tailbelege), könnten für das ausländische Strafverfahren von Bedeutung sein. Nachdem die ersuchende Behörde den Geldfluss und allfällige Leistun- gen zugunsten der anderen beiden Beschuldigten zu ermitteln versucht, ist angesichts der ausgeführten Rechtsprechung eine Verletzung des Über- massverbotes nicht zu erkennen. Jedenfalls befinden sich unter den heraus- zugebenden Beweismitteln keine Unterlagen, die für das ausländische Straf- verfahren mit Sicherheit nicht potentiell erheblich wären. Die Beschwerde- gegnerin weist zurecht darauf hin, dass die herauszugebenden Unterlagen insbesondere auch zur Entlastung der Beschuldigten dienen könnten (vgl. TPF 2011 07 E. 5.1 S. 106 m.w.H.). Aus diesem Grund ist die Herausgabe der Bankunterlagen für den Zeitraum von 2010 bis 2015 nicht zu beanstan- den. Demnach sind die entsprechenden Eventualanträge abzuweisen.</w:t>
      </w:r>
    </w:p>
    <w:p>
      <w:r>
        <w:rPr>
          <w:b/>
        </w:rPr>
        <w:t>E. 6.4</w:t>
      </w:r>
    </w:p>
    <w:p>
      <w:r>
        <w:t>Der Beschwerdeführer legt nicht dar, inwiefern eine Gefahr bestünde, wo- nach sich die portugiesischen Behörden an das Spezialitätsprinzip, auf das die Schlussverfügungen verweisen (RR.2018.227-229, act. 1.1, S. 7), nicht</w:t>
      </w:r>
    </w:p>
    <w:p>
      <w:r>
        <w:t>- 10 -</w:t>
      </w:r>
    </w:p>
    <w:p>
      <w:r>
        <w:t>halten würden. Hinweise, die an der Beachtung des Spezialitätsprinzips sei- tens der ersuchenden Behörde zweifeln liessen, sind den vorliegenden Un- terlagen nicht zu entnehmen. Der Vollständigkeit halber sei angemerkt, dass das Rechtshilfeersuchen entgegen der Ansicht des Beschwerdeführers nicht zu bemängeln ist. Darin wird der Verdacht gegenüber dem Beschwerdefüh- rer ausführlich dargelegt und um Zustellung von im Detail genannten Unter- lagen der auf die D. Inc. und den Beschwerdeführer lautenden Konten er- sucht (Verfahrensakten, Rechtshilfeersuchen vom 7. März 2017, S. 2 ff. und 10).</w:t>
      </w:r>
    </w:p>
    <w:p>
      <w:r>
        <w:rPr>
          <w:b/>
        </w:rPr>
        <w:t>E. 7</w:t>
      </w:r>
    </w:p>
    <w:p>
      <w:r>
        <w:t>Die Beschwerden erweisen sich nach dem Gesagten in all ihren Punkten als unbegründet und sind abzuweisen. Andere Hindernisse, welche der zu ge- währenden Rechtshilfe entgegenstehen würden, werden weder geltend ge- macht noch sind solche ersichtlich. Die Beschwerden sind daher vollumfäng- lich abzuweisen.</w:t>
      </w:r>
    </w:p>
    <w:p>
      <w:r>
        <w:rPr>
          <w:b/>
        </w:rPr>
        <w:t>E. 8</w:t>
      </w:r>
    </w:p>
    <w:p>
      <w:r>
        <w:t>Bei diesem Ausgang des Verfahrens sind die Gerichtskosten den Beschwer- deführern aufzuerlegen (Art. 63 Abs. 1 VwVG). Die Gerichtsgebühr ist auf Fr. 6‘000.-- festzusetzen (Art. 63 Abs. 5 VwVG i.V.m. Art. 73 StBOG sowie Art. 5 und 8 Abs. 3 lit. a des Reglements des Bundesstrafgerichts vom 31. August 2010 über die Kosten, Gebühren und Entschädigungen in Bun- desstrafverfahren [BStKR; SR 173.713.162]). Daran anzurechnen ist der entsprechende Betrag aus dem vom Beschwerdeführer geleisteten Kosten- vorschuss von insgesamt Fr. 9‘000.--. Die Bundesstrafgerichtskasse ist an- zuweisen, dem Beschwerdeführer den Kostenvorschuss von Fr. 3‘000.-- zu- rückzuerstatten.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