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RR.2018.221 vom 28. September 2018</w:t>
      </w:r>
    </w:p>
    <w:p>
      <w:r>
        <w:t>Bundesstrafgericht, 2018-09-28, FR</w:t>
      </w:r>
    </w:p>
    <w:p>
      <w:r>
        <w:rPr>
          <w:b/>
        </w:rPr>
        <w:t xml:space="preserve">Quelle: </w:t>
      </w:r>
      <w:r>
        <w:t>https://mcp.opencaselaw.ch/entscheid/bstger_RR.2018.221</w:t>
      </w:r>
    </w:p>
    <w:p>
      <w:r>
        <w:t>FR: TPF RR.2018.221 du 28 septembre 2018</w:t>
      </w:r>
    </w:p>
    <w:p>
      <w:r>
        <w:t>IT: TPF RR.2018.221 del 28 settembre 2018</w:t>
      </w:r>
    </w:p>
    <w:p>
      <w:pPr>
        <w:pStyle w:val="Heading2"/>
      </w:pPr>
      <w:r>
        <w:t>Regeste</w:t>
      </w:r>
    </w:p>
    <w:p>
      <w:r>
        <w:t>Extradition à la République de Roumanie. Décision d'extradition (art. 55 EIMP). Assistance judiciaire (art. 65 PA).</w:t>
      </w:r>
    </w:p>
    <w:p>
      <w:pPr>
        <w:pStyle w:val="Heading2"/>
      </w:pPr>
      <w:r>
        <w:t>Erwägungen</w:t>
      </w:r>
    </w:p>
    <w:p>
      <w:r>
        <w:rPr>
          <w:b/>
        </w:rPr>
        <w:t>E. 1.1</w:t>
      </w:r>
    </w:p>
    <w:p>
      <w:r>
        <w:t>Les procédures d’extradition entre la Suisse et la République de Roumanie sont prioritairement régies par la Convention européenne d’extradition (CEExtr.; RS 0.351.1) et ses deux Protocoles additionnels (RS 0.353.11 et 0.353.12). Pour le surplus, la loi fédérale sur l’entraide internationale en matière pénale (EIMP; RS 351.1) et son ordonnance d’exécution du 24 février 1982 (OEIMP; RS 351.11) règlent les questions qui ne sont pas régies, explicitement ou implicitement, par la CEExtr. et s’appliquent, en outre, lorsque leurs dispositions sont plus favorables à l’octroi de l’extradition que le droit international (principe dit « de faveur »; ATF 142 IV 250 consid. 3; 140 IV 123 consid. 2; 137 IV 33 consid. 2.2.2; 136 IV 82 consid. 3.1). Le respect des droits fondamentaux est réservé (ATF 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w:t>
      </w:r>
    </w:p>
    <w:p>
      <w:r>
        <w:t>Dans un premier grief qu’il convient de traiter en premier lieu compte tenu de sa nature formelle, le recourant invoque une violation de son droit d’être entendu, sous l’angle d’un défaut de motivation. L’OFJ aurait omis de se</w:t>
      </w:r>
    </w:p>
    <w:p>
      <w:r>
        <w:t>- 4 -</w:t>
      </w:r>
    </w:p>
    <w:p>
      <w:r>
        <w:t>prononcer sur des allégués et arguments importants du recourant (act. 1, p. 4-5).</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2.3</w:t>
      </w:r>
    </w:p>
    <w:p>
      <w:r>
        <w:t>Le recourant reproche à l’OFJ de n’avoir pas étudié les éléments pertinents, sur lesquels le recourant s’est exprimé lors des audiences du 3 mai 2018 et 28 mai 2018, et d’avoir omis de se prononcer sur ces arguments dans la décision attaquée. Le recourant aurait de plus cité un certain nombre de documents, et en particulier, la décision de mise en liberté conditionnelle émise par les autorités roumaines (act. 1, p. 5). L’OFJ relève pour sa part</w:t>
      </w:r>
    </w:p>
    <w:p>
      <w:r>
        <w:t>- 5 -</w:t>
      </w:r>
    </w:p>
    <w:p>
      <w:r>
        <w:t>que ce dernier argument est ab initio mal fondé dès lors que la décision de libération conditionnelle roumaine est explicitement mentionnée dans la demande d'extradition (act. 4, p. 5).</w:t>
      </w:r>
    </w:p>
    <w:p>
      <w:r>
        <w:rPr>
          <w:b/>
        </w:rPr>
        <w:t>E. 2.4</w:t>
      </w:r>
    </w:p>
    <w:p>
      <w:r>
        <w:t>La motivation particulièrement brève du recourant sur ce point ne permet pas réellement de comprendre quels documents auraient été omis par l’OFJ, si ce n’est la décision de mise en liberté conditionnelle, ni quels éléments pertinents présentés lors des audiences des 3 et 28 mai 2018 n’auraient pas été examinés. Lors de l’audience du 3 mai 2018, le recourant indique ce qui suit concernant les objections qu’il a à l’encontre du mandat d’arrêt émis par l’OFJ: « j’ai déjà exécuté la peine. J’ai été arrêté en Italie et j’ai purgé un mois de ma peine. En Roumanie, j’ai exécuté un an et 6 mois de ma peine et je dispose sur moi de l’ordonnance de remise en liberté. J’ai également été arrêté en France à cause de ce mandat et j’ai finalement été libéré. Les Français ont écrit au Procureur général en Roumanie qui a confirmé que je devais être libéré. J’ai tous les documents sur moi. » (dossier OFJ, pièce 5, p. 4). Après avoir reçu du MP-GE le procès-verbal de l’audition, l’OFJ a fait part des affirmations susmentionnées du recourant à l’autorité requérante, et demandé à celle-ci des précisions quant au solde de peine à purger et pour quelle(s) infraction(s) (dossier OFJ, pièce 6, p. 2). Dans sa réponse, l’autorité requérante précise que si la peine relative à la procédure n° 1032/2013 a bien été exécutée, celle relative à la procédure n° 401/21.02.2017, soit celle pour laquelle l’extradition est requise, n’a pour sa part que partiellement été exécutée (dossier OFJ, pièce 7, p. 1). La décision litigieuse mentionne expressément que de la peine privative de liberté à laquelle a été condamné le recourant doit être déduite la détention subie entre le 8 janvier 2013 et le 28 mai 2014 (act. 1.1, p. 4). Elle s’est de plus déterminée sur les observations déposées par le conseil du recourant le 11 juin 2018.</w:t>
      </w:r>
    </w:p>
    <w:p>
      <w:r>
        <w:rPr>
          <w:b/>
        </w:rPr>
        <w:t>E. 2.5</w:t>
      </w:r>
    </w:p>
    <w:p>
      <w:r>
        <w:t>Par conséquent, force est de conclure que l’OFJ a pris en compte les éléments présentés par le recourant tant dans ses auditions des 3 et 28 mai 2018 que dans ses observations du 11 juin 2018. Confronté à de nouveaux éléments, l’OFJ a immédiatement sollicité des précisions à l’autorité requérante, afin de vérifier leur compatibilité avec la procédure d’extradition. Il s’ensuit que le droit d’être entendu du recourant a été respecté, de sorte que la violation de ce grief doit être rejetée.</w:t>
      </w:r>
    </w:p>
    <w:p>
      <w:r>
        <w:rPr>
          <w:b/>
        </w:rPr>
        <w:t>E. 3</w:t>
      </w:r>
    </w:p>
    <w:p>
      <w:r>
        <w:t>Dans un second grief, le recourant fait valoir que les droits minimaux de la défense auraient été violés, dès lors que le jugement roumain a été rendu en son absence.</w:t>
      </w:r>
    </w:p>
    <w:p>
      <w:r>
        <w:t>- 6 -</w:t>
      </w:r>
    </w:p>
    <w:p>
      <w:r>
        <w:rPr>
          <w:b/>
        </w:rPr>
        <w:t>E. 3.1</w:t>
      </w:r>
    </w:p>
    <w:p>
      <w:r>
        <w:t>L’accusé a le droit d’être jugé en sa présence. Cette faculté découle de l’objet et du but de l’art. 6 CEDH, ainsi que de l’art. 29 al. 2 Cst et de l’art. 14 du Pacte international relatif aux droits civils et politiques (Pacte ONU II; RS 103.2). Ce droit n’est toutefois pas absolu; la Constitution et la CEDH ne s’opposent pas à ce que les débats aient lieu en l’absence de l’accusé, lorsque celui-ci refuse d’y participer ou lorsqu’il se place fautivement dans l’incapacité de le faire (ATF 127 I 213 consid. 3a; 126 I 36 consid. 1b; arrêt du Tribunal pénal fédéral RR.2010.5 du 2 février 2010 consid. 2.1.1). Le droit d’être entendu dans un procès pénal équitable exige que le condamné par défaut puisse obtenir, par la voie d’une « demande en relief », la mise à néant du premier jugement et le traitement de son cas par une juridiction compétente pour statuer à nouveau, après l’avoir entendu, sur le bien-fondé de l’accusation en fait et en droit (arrêts de la Cour européenne des droits de l’homme dans les causes Poitrimol c. France du 23 novembre 1993, série A, vol. 277A, § 31; Colozza c. Italie du 12 février 1985, série A, vol. 89, § 32). Le droit à un relief n’est toutefois pas garanti au prévenu qui a renoncé à assister à l’audience, qu’il ait été au bénéfice d’une dispense ou qu’il se soit délibérément soustrait à la justice: la Constitution et la CEDH n’interdisent pas que la demande de relief d’un jugement prononcé par défaut soit, à l’instar de l’usage des voies de recours, subordonnée à l’existence d’un empêchement non fautif, afin de décourager les absences injustifiées, ou à l’observations de prescription de forme, notamment au respect d’un délai (ATF 129 II 56 consid. 6.2; 127 I 213 consid. 3a). De manière générale, la personne condamnée par défaut ne saurait donc exiger inconditionnellement le droit d’être rejugée. Le relief n’est pas nécessaire lorsque l’accusé absent lors du jugement de condamnation a été représenté à l’audience par un avocat et que celui-ci a eu la possibilité effective d’exercer les droits de la défense (ATF 133 I 12; 129 II 56 consid. 6.2).</w:t>
      </w:r>
    </w:p>
    <w:p>
      <w:r>
        <w:rPr>
          <w:b/>
        </w:rPr>
        <w:t>E. 3.2</w:t>
      </w:r>
    </w:p>
    <w:p>
      <w:r>
        <w:t>Aux termes de l’art. 3 par. 1 du Deuxième Protocole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Selon l’art. 37 al. 2 EIMP,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w:t>
      </w:r>
    </w:p>
    <w:p>
      <w:r>
        <w:t>- 7 -</w:t>
      </w:r>
    </w:p>
    <w:p>
      <w:r>
        <w:rPr>
          <w:b/>
        </w:rPr>
        <w:t>E. 3.3</w:t>
      </w:r>
    </w:p>
    <w:p>
      <w:r>
        <w:t>Cela étant, quelles qu’aient pu être les circonstances du défaut lors du jugement contumacial, dès l’instant où le condamné a utilisé un moyen de droit contre le jugement et pu participer à la procédure de deuxième, voire de troisième instance, le Tribunal fédéral considère que le jugement de condamnation prononcé en son absence ne constitue plus un obstacle à l’extradition, au regard des art. 3 par. 1 du Deuxième Protocole additionnel à la CEExtr. et 37 al. 2 EIMP (voir à cet égard l’arrêt 1A.175/2002 du</w:t>
      </w:r>
    </w:p>
    <w:p>
      <w:r>
        <w:rPr>
          <w:b/>
        </w:rPr>
        <w:t>E. 3.4</w:t>
      </w:r>
    </w:p>
    <w:p>
      <w:r>
        <w:t>Dans le cas d’espèce, il ressort du procès-verbal de l’audience du 17 janvier 2017 devant le Tribunal de Première Instance de Iasi que, si le recourant n’était pas personnellement présent, il était représenté par un avocat commis d’office, lequel a plaidé sa cause. Celui-ci a ainsi indiqué que les preuves apportées ne permettaient pas de conclure à l’existence des faits reprochés, les faits seraient décrits de façon lacunaire, tant du point de vue de l’auteur que des conditions de lieu et de temps. Le conseil d’office conclut, au cas où le Tribunal retiendrait que les faits ont été suffisamment prouvés, à la peine d’emprisonnement minimale, et de tenir compte du fait qu’il travaille à l’étranger et a un enfant mineur (dossier OFJ, pièce 11, p. 14). Le jugement du 21 février 2017 du Tribunal de première instance de Iasi indique par ailleurs que le recourant était présent à la première audience, soit celle du 21 juin 2016, puis ne s’est plus présenté. Il ne résulterait par ailleurs pas de situations relevant l’impossibilité objective de participer au déroulement de l’affaire pénale (dossier OFJ, pièce 11, p. 32). Le recourant a par la suite déposé un appel à l’encontre du jugement précité, par devant la Cour d’appel de Iasi. A nouveau, le recourant n’était pas présent personnellement mais représenté par un défenseur commis d’office (dossier OFJ, pièce 11, p. 81). Celui-ci a présenté au Tribunal les motifs de l’appel, et présenté un nouveau calcul de la peine infligée, laquelle serait importante par rapport aux circonstances dans lesquelles les infractions ont été commises, par rapport</w:t>
      </w:r>
    </w:p>
    <w:p>
      <w:r>
        <w:t>- 8 -</w:t>
      </w:r>
    </w:p>
    <w:p>
      <w:r>
        <w:t>au niveau social et à la formation professionnelle du recourant (dossier OFJ, ibidem).</w:t>
      </w:r>
    </w:p>
    <w:p>
      <w:r>
        <w:rPr>
          <w:b/>
        </w:rPr>
        <w:t>E. 3.5</w:t>
      </w:r>
    </w:p>
    <w:p>
      <w:r>
        <w:t>Le recourant a dès lors, à défaut d’être présent, été représenté par un conseil d’office dans le cadre de la procédure pénale. Celui-ci a présenté des moyens de preuve et plaidé une peine légère. Il a ensuite déposé un appel à l’encontre du jugement de première instance. Dans son recours, le recourant indique uniquement ne pas avoir pris part aux audiences, mais n’en indique pas les motifs. Selon les autorités roumaines, il n’y avait, a priori, aucun élément ayant objectivement empêché l’intéressé de prendre part à la procédure. L’on ne saurait dès lors retenir que les droits de la défense ont été violés. Il s’ensuit que ce grief doit également être rejeté.</w:t>
      </w:r>
    </w:p>
    <w:p>
      <w:r>
        <w:t>4. Le recourant allègue enfin une violation du principe de coordination avec la procédure d’asile prévue à l’art. 55a EIMP. L’OFJ n’aurait pas pris en considération les éléments de fait et de droit découlant de la procédure de demande d’asile (act. 1, p. 6-7).</w:t>
      </w:r>
    </w:p>
    <w:p>
      <w:r>
        <w:t>4.1 Selon l’art. 55a EIMP, l’OFJ et les autorités de recours doivent tenir compte du dossier d’une procédure d’asile pendante pour statuer sur la demande d’extradition. Inversement, selon les art. 41a et 108a LAsi, lorsque le requérant fait l’objet d’une demande d’extradition, l’office puis les autorités de recours prennent en considération le dossier relatif à la procédure d’extradition pour statuer en matière d’asile. Ces dispositions ont pour but d’éviter des décisions contradictoires dans les deux domaines et d’accélérer les procédures (FF 2010 1333; arrêts du Tribunal fédéral 1C_246/2017 du 29 janvier 2018 consid. 2.1; 1C_109/2017 du 28 septembre 2017 consid. 1).</w:t>
      </w:r>
    </w:p>
    <w:p>
      <w:r>
        <w:t>4.2 L’OFJ ne se serait pas, selon le recourant, pleinement coordonné avec le SEM. Il n’aurait pas pris en considération les éléments découlant de la procédure d’asile, quand bien même il en connaissait l’existence. Le recourant ne saurait être suivi. Dans sa décision d’extradition, l’OFJ mentionne au contraire sa collaboration avec le SEM, laquelle est intervenue par l’échange des documents pertinents dans le cadre des deux procédures. La collaboration a perduré tout au long de la procédure, dès lors que tant l’OFJ que le SEM se tenaient informés des nouveaux éléments au fur et à mesure (act. 1.1, p. 2). De plus, le dispositif de la décision attaquée indique que l’extradition est accordée, « sous réserve de l’octroi du statut du réfugié par les autorités helvétiques compétentes en matière de migrations dans le cadre de la procédure d’asile » (act. 1.1, p. 9). Dans tous les cas, la décision du 11 septembre 2018 du SEM rejetant la demande d’asile clôt la question. Ce grief doit dès lors également être rejeté.</w:t>
      </w:r>
    </w:p>
    <w:p>
      <w:r>
        <w:t>- 9 -</w:t>
      </w:r>
    </w:p>
    <w:p>
      <w:r>
        <w:t>5. Le recours, mal fondé, doit être rejeté.</w:t>
      </w:r>
    </w:p>
    <w:p>
      <w:r>
        <w:t>6. 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In casu, les conclusions sont vouées à l’échec. Les motifs fournis à l’appui du recours se sont en effet avérés manifestement infondés à la lumière d’un état de fait constant, respectivement de principes juridiques clairs et indiscutés. L’octroi de l’assistance judiciaire doit partant être refusé.</w:t>
      </w:r>
    </w:p>
    <w:p>
      <w:r>
        <w:t>7.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- 10 -</w:t>
      </w:r>
    </w:p>
    <w:p>
      <w:r>
        <w:rPr>
          <w:b/>
        </w:rPr>
        <w:t>E. 8</w:t>
      </w:r>
    </w:p>
    <w:p>
      <w:r>
        <w:t>octobre 2002 consid. 2.4). Pour parvenir à un tel constat, il faut disposer de tous les éléments de fait permettant de déterminer si le jugement contumacial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 129 II 56 consid. 6.4; arrêts du Tribunal pénal fédéral RR.2008.116 du 1er juillet 2008 consid. 3.3; RR.2008.64 du 22 mai 2008 consid. 4.2). Il est ainsi possible que, sur le vu du droit étranger et des circonstances de fait, l’on puisse admettre qu’un vice affectant le jugement de première instance rendu par contumace ait pu être guéri dans une procédure de recours ultérieure.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