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RR.2018.213 vom 5. November 2018</w:t>
      </w:r>
    </w:p>
    <w:p>
      <w:r>
        <w:t>Bundesstrafgericht, 2018-11-05, FR</w:t>
      </w:r>
    </w:p>
    <w:p>
      <w:r>
        <w:rPr>
          <w:b/>
        </w:rPr>
        <w:t xml:space="preserve">Quelle: </w:t>
      </w:r>
      <w:r>
        <w:t>https://mcp.opencaselaw.ch/entscheid/bstger_RR.2018.213</w:t>
      </w:r>
    </w:p>
    <w:p>
      <w:r>
        <w:t>FR: TPF RR.2018.213 du 5 novembre 2018</w:t>
      </w:r>
    </w:p>
    <w:p>
      <w:r>
        <w:t>IT: TPF RR.2018.213 del 5 novembre 2018</w:t>
      </w:r>
    </w:p>
    <w:p>
      <w:pPr>
        <w:pStyle w:val="Heading2"/>
      </w:pPr>
      <w:r>
        <w:t>Regeste</w:t>
      </w:r>
    </w:p>
    <w:p>
      <w:r>
        <w:t>Entraide judiciaire internationale en matière pénale à la France. Remise de moyens de preuve (art. 74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351.1), entrée en vigueur pour la Suisse le 20 mars 1967 et pour la France le 21 août 1967, ainsi que par l’Accord bilatéral complétant cette Convention (ci-après: Accord bilatéral; RS 0.351.934.92), conclu le 28 octobre 1996 et entré en vigueur le 1er mai 2000. S’agissant d’une demande d’entraide présentée notamment pour la répression du blanchiment d’argent, entre également en considération la Convention relative au blanchiment, au dépistage, à la saisie et à la confiscation des produits du crime (CBI; RS 0.311.53), entrée en vigueur le 11 septembre 1993 pour la Suisse et le 1er février 1997 pour la France. Les art. 48 ss de la Convention d’application de l’Accord de Schengen du 14 juin 1985 (CAAS; n°CELEX 42000A0922[02]; Journal officiel de l’Union européenne L 239 du 22 septembre 2000, p. 19-92) s’appliquent également à l’entraide pénale entre la Suisse et la France (cf. arrêt du Tribunal pénal fédéral RR.2008.98 du 18 décembre 2008 consid. 1.3). Dans les relations d’entraide avec la République française, les dispositions pertinentes de l’Accord de coopération entre la Confédération suisse, d’une part, et la Communauté européenne et ses Etat membres, d’autre part, pour lutter contre la fraude et toute autre activité illégale portant atteinte à leurs intérêts financiers (ci-après: Accord anti-fraude; RS 0.351.926.81; cf. également FF 2004 5807 à 5827 et 6127 ss) sont également applicables. En effet, bien qu’il ne soit pas encore en vigueur, en vertu de son art. 44 al. 3, l’Accord anti- fraude est applicable entre ces deux Etats à compter du 8 avril 2009.</w:t>
      </w:r>
    </w:p>
    <w:p>
      <w:r>
        <w:rPr>
          <w:b/>
        </w:rPr>
        <w:t>E. 1.2</w:t>
      </w:r>
    </w:p>
    <w:p>
      <w:r>
        <w:t>Les dispositions de ces traités l’emportent sur le droit autonome qui régit la matière, soit en l’occurrence la loi fédérale sur l’entraide internationale en</w:t>
      </w:r>
    </w:p>
    <w:p>
      <w:r>
        <w:t>- 4 -</w:t>
      </w:r>
    </w:p>
    <w:p>
      <w:r>
        <w:t>matière pénale (EIMP; RS 0.351.1) et son ordonnance d’exécution (OEIMP; RS 351.11). Celles-ci restent toutefois applicables aux questions qui ne sont pas réglées, explicitement ou implicitement, par les dispositions conventionnelles (art. 1 al. 1 EIMP), ainsi que lorsqu’elles permettent l’octroi de l’entraide à des conditions plus favorables (ATF 140 IV 123 consid. 2; 137 IV 33 consid. 2.2.2; 136 IV 82 consid. 3.1; 130 II 337 consid. 1; 124 II 180 consid. 1a). Le respect des droits fondamentaux est réservé (ATF 135 IV 212 consid. 2.3; 123 II 95 consid. 7c p. 617).</w:t>
      </w:r>
    </w:p>
    <w:p>
      <w:r>
        <w:rPr>
          <w:b/>
        </w:rPr>
        <w:t>E. 1.3</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1.4</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b OEIMP, prévoit qu’« est notamment réputé personnellement et directement touché au sens des art. 21 al. 3 et 80h EIMP, en cas de perquisition, le propriétaire ou le locataire ». Cette disposition est à interpréter en ce sens que la personne – physique ou morale – qui doit se soumettre personnellement à une perquisition ou à un séquestre d’objets ou de valeurs a en principe la qualité pour agir, au regard de l’art. 80h let. b EIMP (ATF 130 II consid. 1.1; arrêts du Tribunal fédéral 1C_166/2009 du 3 juillet 2009 consid. 2.3.3; 1A.206/2004 du 15 décembre 2004 consid. 1.2; 1A.164/2003 du 3 septembre 2003 consid. 4; 1A.229/2000 du 3 octobre 2000 consid. 2a). Le recourant est touché par la transmission des documents relatifs à la perquisition de son domicile à Genève, de sorte qu’il a qualité pour s’opposer à leur transmission.</w:t>
      </w:r>
    </w:p>
    <w:p>
      <w:r>
        <w:rPr>
          <w:b/>
        </w:rPr>
        <w:t>E. 1.5</w:t>
      </w:r>
    </w:p>
    <w:p>
      <w:r>
        <w:t>Le délai de recours contre une décision de clôture est de 30 jours dès la communication écrite de celle-ci (art. 80k EIMP). Ledit délai a en l’espèce été respecté).</w:t>
      </w:r>
    </w:p>
    <w:p>
      <w:r>
        <w:rPr>
          <w:b/>
        </w:rPr>
        <w:t>E. 1.6</w:t>
      </w:r>
    </w:p>
    <w:p>
      <w:r>
        <w:t>Compte tenu de ce qui précède, il y a lieu d’entrer en matière.</w:t>
      </w:r>
    </w:p>
    <w:p>
      <w:r>
        <w:rPr>
          <w:b/>
        </w:rPr>
        <w:t>E. 2</w:t>
      </w:r>
    </w:p>
    <w:p>
      <w:r>
        <w:t>Le recourant invoque une violation du principe de la proportionnalité. Les pièces seraient sans rapport avec les faits à l’origine de la demande d’entraide et ne pourront être d’aucune utilité dans le cadre de l’instruction</w:t>
      </w:r>
    </w:p>
    <w:p>
      <w:r>
        <w:t>- 5 -</w:t>
      </w:r>
    </w:p>
    <w:p>
      <w:r>
        <w:t>pénale en cours en France (act. 1, p. 6-8).</w:t>
      </w:r>
    </w:p>
    <w:p>
      <w:r>
        <w:rPr>
          <w:b/>
        </w:rPr>
        <w:t>E. 2.1</w:t>
      </w:r>
    </w:p>
    <w:p>
      <w:r>
        <w:t>Selon le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La coopération judiciaire internationale en matière pénale, 4e éd. 2015, n°723, p. 748 s.).</w:t>
      </w:r>
    </w:p>
    <w:p>
      <w:r>
        <w:rPr>
          <w:b/>
        </w:rPr>
        <w:t>E. 2.2</w:t>
      </w:r>
    </w:p>
    <w:p>
      <w:r>
        <w:t>Les autorités suisses sont tenues, au sens de la procédure d’entraide, d’assister les autorités étrangères dans la recherche de la vérité en</w:t>
      </w:r>
    </w:p>
    <w:p>
      <w:r>
        <w:t>- 6 -</w:t>
      </w:r>
    </w:p>
    <w:p>
      <w:r>
        <w:t>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L’octroi de l’entraide n’implique pas que la personne soumise à une mesure de contrainte dans l’Etat requis soit elle-même accusée dans l’Etat requérant. Dans le domaine de l’entraide judiciaire, les mesures de contrainte ne sont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RR.2013.301 du 22 mai 2014 consid. 6.2).</w:t>
      </w:r>
    </w:p>
    <w:p>
      <w:r>
        <w:rPr>
          <w:b/>
        </w:rPr>
        <w:t>E. 2.2.1</w:t>
      </w:r>
    </w:p>
    <w:p>
      <w:r>
        <w:t>Le recourant soutient que les pièces 1 à 5 n’ont aucun lien avec l’enquête étrangère dès lors qu’elles concernent des transactions immobilières et que l’enquête porte sur la vente d’hélicoptères. Les pièces 6 et 7 concerneraient une démarche commerciale auprès d’une compagnie aérienne chinoise, en 2005-2006, soit 2 ans avant le début de la période pénale pertinente. La pièce 9 fait mention des coordonnées téléphoniques d’interlocuteurs habituels du recourant dans le cadre de ses affaires, de sorte qu’il n’y aurait pas davantage de lien avec l’enquête française. Les pièces 10 et 11 n’auraient, elles non plus, aucun rapport avec les faits à l’origine de l’enquête. Enfin, les pièces 12 à 14 contiennent des coordonnées bancaires de sociétés utilisées dans le cadre d’opération commerciales au Moyen- Orient, dans le sous-continent indien ou en Chine, de sorte qu’aucun rapport ne peut être établi avec la vente d’hélicoptères au Kazakhstan (act. 1, p. 7).</w:t>
      </w:r>
    </w:p>
    <w:p>
      <w:r>
        <w:rPr>
          <w:b/>
        </w:rPr>
        <w:t>E. 2.2.2</w:t>
      </w:r>
    </w:p>
    <w:p>
      <w:r>
        <w:t>Selon la demande d’entraide de l’autorité requérante, l’enquête est menée pour des faits commis tant sur le territoire national qu’à l’étranger, notamment en Belgique, au Luxembourg et au Kazakhstan. Elle s’intéresse également à la société G. Ltd laquelle est basée à Hong Kong, ainsi qu’aux sociétés H. Corp (société des Seychelles), I. SA (société panaméenne) et J. Ltd (société des îles Samoa). L’enquête étrangère porte sur la mise en place d’un réseau de sociétés internationales permettant la distribution de commissions occultes. Ces commissions ont pu, comme le soupçonne l’autorité requérante, être versées par le biais de personnes physiques ou commerciales tant kazakh qu’étrangères, de sorte que l’intérêt des autorités françaises ne se limite pas aux seuls pays de la France et du Kazakhstan. Concernant les pièces 6 et 7 relatives à des documents bancaires d’une société basée à Hong Kong dont l’ayant droit économique est un homme d’affaires taïwanais qui est intervenu dans le cadre de la vente d’avions civils</w:t>
      </w:r>
    </w:p>
    <w:p>
      <w:r>
        <w:t>- 7 -</w:t>
      </w:r>
    </w:p>
    <w:p>
      <w:r>
        <w:t>par le groupe D., elles peuvent présenter un intérêt pour l’autorité requérante dans la mesure où celle-ci enquête sur un schéma corruptif lié de près ou de loin au groupe D. Elle peut ainsi vouloir vérifier que les agissements qu’elle connaît déjà n’ont pas été précédés ou suivis d’autres actes du même genre, afin de mettre en évidence tous les aspects du mécanisme délictueux actuel. La transmission de ces pièces est dès lors justifiée. Pareil constat s’impose concernant les pièces 12 à 14, qui concernent des partenaires commerciaux du groupe D. Là encore, l’autorité requérante dispose d’un intérêt à connaître les relations d’affaires et le mode de procéder de la compagnie. Ces pièces ne sont en effet pas d’emblée dénuées d’intérêt et peuvent aider l’enquête étrangère afin d’identifier les protagonistes et les virements litigieux. L’on rappelle à cet égard que les bénéficiaires de G. Ltd sont restés non identifiés avec certitude, mais qu’il pourrait s’agir d’avocats chinois (act. 1.2, p. 4). La même conclusion s’impose pour les pièces 1 à 5 et 11, relatives à un partenaire commercial du groupe D. pour une transaction immobilière au Liban. Si, prima facie, ces pièces ne semblent pas en lien avec l’enquête étrangère, celle-ci n’en dispose pas moins d’un intérêt à vérifier elle-même la pertinence de ces documents, d’autant plus que leur importance pour l’enquête étrangère a été désignée par les enquêteurs français lors de la perquisition effectuée au domicile du recourant. La pièce 10 quant à elle est un avis de crédit, indiquant un virement effectué du recourant à l’attention de K., lequel est également mentionné dans la demande d’entraide et dont la perquisition du domicile a aussi été requise. Cette pièce est dès lors également pertinente pour l’enquête étrangère.</w:t>
      </w:r>
    </w:p>
    <w:p>
      <w:r>
        <w:rPr>
          <w:b/>
        </w:rPr>
        <w:t>E. 2.2.3</w:t>
      </w:r>
    </w:p>
    <w:p>
      <w:r>
        <w:t>Dans tous les cas, dès lors que les pièces dont la transmission a été ordonnée par le MP-GE ont été sélectionnées par les représentants de l’autorité requérante, elles font partie intégrante de la demande d’entraide. Contrairement aux affirmations du recourant, la jurisprudence citée par le MP-GE n’est pas unique et il ne s’agit pas d’un cas exceptionnel. Le principe selon lequel les pièces individualisées par les représentants de l’autorité étrangère lors d’une perquisition sur le territoire suisse font partie intégrante de la demande d’entraide a été confirmé, et la jurisprudence du Tribunal pénal fédéral est constante à ce sujet (arrêts du Tribunal pénal fédéral RR.2017.149 du 23 octobre 2017 consid. 6.4; RR.2016.13 du 6 avril 2016 consid. 4.4; RR.2016.12 du 5 avril 2016 consid. 4.4; RR.2015.205 du 18 novembre 2015 consid. 5.4.1; RR.2015.59 du 11 septembre 2015 consid. 7.4.1; RR.2015.58 du 5 août 2015 consid. 8.3.2; RR.2014.100-101 du 22 mai 2014 consid. 3.2). La doctrine partage également cette position et retient que la présence des agents étrangers conduisant l’enquête dont ils connaissent tous les tenants et aboutissants est en effet de nature à faciliter grandement l’exécution de la demande. Elle simplifie aussi l’application du principe de proportionnalité, notamment pour ce qui concerne le tri des</w:t>
      </w:r>
    </w:p>
    <w:p>
      <w:r>
        <w:t>- 8 -</w:t>
      </w:r>
    </w:p>
    <w:p>
      <w:r>
        <w:t>pièces auquel l’autorité d’exécution doit procéder, car sans ce concours, et compte tenu du large pouvoir d’appréciation concédé au juge du fond, l’autorité d’exécution serait souvent tentée de transmettre plus de documents que nécessaire. Enfin, la participation des agents étrangers prévient la présentation de demandes complémentaires (ZIMMERMANN, op. cit., n°408). Il n’y a dès lors pas lieu de s’écarter de ces principes et il convient d’admettre que l’ensemble des pièces objets de la décision querellée, préalablement sélectionnée par les enquêteurs français, présente potentiellement un intérêt pour l’autorité requérante, de sorte que leur transmission doit être accordée.</w:t>
      </w:r>
    </w:p>
    <w:p>
      <w:r>
        <w:rPr>
          <w:b/>
        </w:rPr>
        <w:t>E. 3</w:t>
      </w:r>
    </w:p>
    <w:p>
      <w:r>
        <w:t>Au vu de ce qui précède, le recours, mal fondé, est rejeté.</w:t>
      </w:r>
    </w:p>
    <w:p>
      <w:r>
        <w:rPr>
          <w:b/>
        </w:rPr>
        <w:t>E. 4</w:t>
      </w:r>
    </w:p>
    <w:p>
      <w:r>
        <w:t>En règle générale, les frais de procédure comprenant l’émolument d’arrêté, les émoluments de chancellerie et les débours sont mis à la charge des parties qui succombent (art. 63 al. 1 PA, applicable par renvoi de l’art. 39 al. 2 LOAP). Le montant de l’émolument est calculé en fonction de l’ampleur et de la difficulté de la cause, de la façon de procéder des parties, de leur situation financière et des frais de chancellerie (art. 73 al. 2 LOAP). Le recourant, qui succombe, supportera ainsi les frais du présent arrêt, fixés à CHF 5'000.-- (art. 73 al. 2 LOAP et art. 8 al. 3 du règlement du Tribunal pénal fédéral sur les frais, émoluments, dépens et indemnités de la procédure pénale fédérale du 31 août 2010 [RFPPF; RS 173.713.162] et art. 63 al. 5 PA), entièrement couverts par l’avance de frais effectuée.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