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RR.2018.211 vom 26. September 2018</w:t>
      </w:r>
    </w:p>
    <w:p>
      <w:r>
        <w:t>Bundesstrafgericht, 2018-09-26, IT</w:t>
      </w:r>
    </w:p>
    <w:p>
      <w:r>
        <w:rPr>
          <w:b/>
        </w:rPr>
        <w:t xml:space="preserve">Quelle: </w:t>
      </w:r>
      <w:r>
        <w:t>https://mcp.opencaselaw.ch/entscheid/bstger_RR.2018.211</w:t>
      </w:r>
    </w:p>
    <w:p>
      <w:r>
        <w:t>FR: TPF RR.2018.211 du 26 septembre 2018</w:t>
      </w:r>
    </w:p>
    <w:p>
      <w:r>
        <w:t>IT: TPF RR.2018.211 del 26 settembre 2018</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136 IV 82 consid. 3.1; 135 IV 212 consid. 2.3).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Interposti tempestivamente contro le decisioni di chiusura del 4 giugno 2018, i ricorsi sono ricevibili sotto il profilo degli art. 25 cpv. 1, 80e cpv. 1 e 80k AIMP. A. Limited e B. sono legittimati a ricorrere nella misura in cui contestano ognuno la decisione riguardante il rispettivo conto di cui sono titolari (v. art. 9a lett. a OAIMP nonché DTF 137 IV 134 consid. 5.2.1; 130 II 162 consid. 1.1; 128 II 211 consid. 2.3; TPF 2007 79 consid. 1.6 pag. 82).</w:t>
      </w:r>
    </w:p>
    <w:p>
      <w:r>
        <w:rPr>
          <w:b/>
        </w:rPr>
        <w:t>E. 2</w:t>
      </w:r>
    </w:p>
    <w:p>
      <w:r>
        <w:t>Nella misura in cui i ricorrenti sono entrambi patrocinati dal medesimo avvocato e i ricorsi, dal contenuto praticamente identico, concernono un medesimo con- testo giuridico e fattuale, per motivi di economia processuale si giustifica di pro- cedere alla congiunzione delle cause in questione e di pronunciare un unico giudizio (in questo ambito v. DTF 126 V 283 consid. 1; sentenza del Tribunale</w:t>
      </w:r>
    </w:p>
    <w:p>
      <w:r>
        <w:t>- 5 -</w:t>
      </w:r>
    </w:p>
    <w:p>
      <w:r>
        <w:t>federale 1C_89-93/2012 del 9 febbraio 2012 consid. 1; BOVAY, Procédure ad- ministrative, 2a ediz. 2015, pag. 606; KÖLZ/HÄNER/BERTSCHI, Verwaltungsver- fahren und Verwaltungsrechtspflege des Bundes, 3a ediz. 2013, n. 927).</w:t>
      </w:r>
    </w:p>
    <w:p>
      <w:r>
        <w:rPr>
          <w:b/>
        </w:rPr>
        <w:t>E. 3</w:t>
      </w:r>
    </w:p>
    <w:p>
      <w:r>
        <w:t>I ricorrenti affermano di aver chiesto alle autorità brasiliane l'abbandono del pro- cedimento condotto nei confronti del predetto, non solo perché i valori versati sui conti di B. e delle società a lui riconducibili sarebbero tutti di origine lecita, ma anche perché i reati contestatigli sarebbero prescritti. L'abbandono in que- stione priverebbe di fondamento la domanda di assistenza brasiliana. In quest'ottica, occorrerebbe rifiutare, o almeno sospendere, la contestata trasmis- sione di documentazione bancaria, in applicazione del principio della proporzio- nalità, sino a quando l'autorità estera avrà statuito sulla richiesta di abbandono.</w:t>
      </w:r>
    </w:p>
    <w:p>
      <w:r>
        <w:rPr>
          <w:b/>
        </w:rPr>
        <w:t>E. 3.1.1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La trasmissione dell'intera documentazione potrà evitare altresì l'inoltro di eventuali domande complementari (DTF 136 IV 82 consid. 4.1; 121 II 241 consid. 3; sentenza del Tribunale federale 1C_486/2008 dell'11 novembre 2008 consid. 2.4; sentenza</w:t>
      </w:r>
    </w:p>
    <w:p>
      <w:r>
        <w:t>- 6 -</w:t>
      </w:r>
    </w:p>
    <w:p>
      <w:r>
        <w:t>del Tribunale penale federale RR.2011.113 del 28 luglio 2011 consid. 4.2). In base alla giurisprudenza l'esame da parte delle autorità di esecuzione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w:t>
      </w:r>
    </w:p>
    <w:p>
      <w:r>
        <w:rPr>
          <w:b/>
        </w:rPr>
        <w:t>E. 3.1.2</w:t>
      </w:r>
    </w:p>
    <w:p>
      <w:r>
        <w:t>In concreto, B., imputato nel procedimento estero, è accusato di aver ricevuto parte del denaro versato dal gruppo C. a scopo corruttivo. I trasferimenti in que- stione sono stati effettuati nell'agosto e nel settembre 2009 da parte del team di G., ex direttore del gruppo C., su conti in Svizzera per l'equivalente di 6.25 mi- lioni di real (BRL). Altri trasferimenti sono stati effettuati tra marzo e aprile 2010, per un importo di circa 3.75 milioni di euro (v. RR.2018.211 e RR.2018.212, act. 6 pag. 2 e seg.). Essendo B. avente diritto economico della relazione n. 1 presso la banca E., nonché intestatario della relazione n. 2 presso la banca F., la relativa documentazione bancaria presenta un'utilità potenziale indubbia.</w:t>
      </w:r>
    </w:p>
    <w:p>
      <w:r>
        <w:rPr>
          <w:b/>
        </w:rPr>
        <w:t>E. 3.1.3</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quest'ultima (DTF 130 II 329 consid. 3; sentenza del Tribunale federale 1C_513/2010 dell'11 marzo 2011 consid. 3.3).</w:t>
      </w:r>
    </w:p>
    <w:p>
      <w:r>
        <w:t>Ebbene, visto quanto esposto in precedenza (v. consid. 3.1.2 supra), è senz'al- tro possibile concludere che esistono elementi sufficienti per confermare il se- questro contestato. Potendo il denaro sequestrato essere legato ai reati per i quali B. è perseguito, la misura va confermata nell'ottica di un’eventuale futura richiesta di confisca giusta l’art. 74a AIMP. Essa è stata del resto limitata al controvalore in franchi svizzeri del presunto importo versato dal gruppo C. a titolo corruttivo, segnatamente la somma di fr. 13'215'475 oggetto della deci- sione 11 ottobre 2017 del MPC, susseguente al ricorso poi ritirato contro la de- cisione del 5 ottobre 2017 (v. act. 1 pag. 8). Toccherà comunque all'autorità estera accertare se il denaro in questione può essere confiscato nell'ambito della procedura penale da essa condotta. In caso affermativo, esso potrebbe fare l'oggetto di una decisione di confisca o di restituzione all'avente diritto nello Stato richiedente (v. art. 74a cpv. 1 e 2 AIMP e art. 12 Trattato svizzero-brasi- liano, nonché DTF 123 II 134 consid. 5c, 268 consid. 4, 595 consid. 3). In defi- nitiva, il sequestro litigioso deve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ferma restando la necessità che la procedura all'estero avanzi (DTF 126</w:t>
      </w:r>
    </w:p>
    <w:p>
      <w:r>
        <w:t>- 7 -</w:t>
      </w:r>
    </w:p>
    <w:p>
      <w:r>
        <w:t>II 462 consid. 5e). A. Limited non ha peraltro allegato nessun pregiudizio eco- nomico cagionato dal sequestro. Anche da questo punto di vista la misura in questione non presenta alcun elemento di sproporzionalità. Ne consegue che le relative censure vanno respinte.</w:t>
      </w:r>
    </w:p>
    <w:p>
      <w:r>
        <w:rPr>
          <w:b/>
        </w:rPr>
        <w:t>E. 3.2.1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3.2.2</w:t>
      </w:r>
    </w:p>
    <w:p>
      <w:r>
        <w:t>Nel caso concreto, la Confederazione Svizzera e il Brasile hanno firmato un trattato bilaterale che da un lato obbliga entrambi gli Stati ad accordarsi la mas- sima assistenza in tutte le indagini o procedimenti giudiziari concernenti reati la cui repressione rientra nella giurisdizione dello Stato richiedente (art. 1 n. 1) e dall’altro non menziona la prescrizione tra i motivi di esclusione della coopera- zione (v. art. 3 e seg.), la quale in concreto non sarebbe del resto nemmeno rilevante in applicazione dell’art. art. 5 cpv. 1 lett. c AIMP, che menziona soltanto quella secondo il diritto svizzero. Ne deriva che, a ragione, le autorità elvetiche non hanno condizionato la concessione dell’assistenza all’esame dell’interve- nuta prescrizione del reato alla base della domanda estera (v. anche sentenza del Tribunale penale federale RR.2010.194 del 7 marzo 2011 consid. 3.4). Certo i ricorrenti, pendente litis, hanno fatto valere un presunto abbandono del perseguimento penale a carico di B. da parte delle autorità brasiliane, per inter- venuta prescrizione. Orbene, a questo proposito si rileva innanzitutto che a so- stegno di tale asserzione i ricorrenti hanno trasmesso unicamente un comuni- cato stampa scaricato dal sito del Tribunale federale supremo brasiliano (v. RR.2018.211 e RR.2018.212 act. 14.1), ma nessun documento ufficiale. Non è altresì dato sapere se l’asserito abbandono abbia come conseguenza il venir meno di qualsiasi pretesa confiscatoria da parte dello Stato brasiliano. Del resto mal si comprende come mai, dal 28 agosto ad oggi, B., il quale sarebbe diret- tamente toccato da detta decisione, non sia stato ancora in grado di produrre nessun documento ufficiale da cui si possa evincere la precisa portata della stessa. Alla luce di quanto esposto sopra al consid. 3.1.3 è comunque decisiva l’assenza di qualsiasi comunicazione ufficiale da parte delle stesse autorità ro- ganti, che in virtù del principio della buona fede fra Stati (v. DTF 144 II 206 consid. 4.4 e rinvii), non vi è nessuna ragione di credere che ometterebbero di informare tempestivamente le autorità svizzere delle conseguenze di una simile decisione, sia per rapporto alla pretesa punitiva in senso stretto sia per rapporto alle pretese confiscatorie sugli averi sequestrati. In questo senso, ferma re- stando la sussistenza e validità della rogatoria agli atti e in assenza di un suo formale ritiro, non vi è nessun motivo di ammettere la relativa censura.</w:t>
      </w:r>
    </w:p>
    <w:p>
      <w:r>
        <w:t>- 8 -</w:t>
      </w:r>
    </w:p>
    <w:p>
      <w:r>
        <w:rPr>
          <w:b/>
        </w:rPr>
        <w:t>E. 3.3</w:t>
      </w:r>
    </w:p>
    <w:p>
      <w:r>
        <w:t>Per analoghi motivi e anche alla luce del principio di celerità (art. 17a AIMP), non vi è nemmeno motivo di accogliere la domanda subordinata di sospensione dell’esecuzione delle decisioni di chiusura.</w:t>
      </w:r>
    </w:p>
    <w:p>
      <w:r>
        <w:rPr>
          <w:b/>
        </w:rPr>
        <w:t>E. 4</w:t>
      </w:r>
    </w:p>
    <w:p>
      <w:r>
        <w:t>In definitiva, le decisioni impugnate vanno confermate e i gravami integralmente respinti.</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15’000.– (fr. 10'000.– per la causa RR.2018.211 e fr. 5'000.– per la causa RR.2018.212). Essa è coperta dagli an- ticipi delle spese già versati.</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