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RR.2018.182 vom 4. September 2018</w:t>
      </w:r>
    </w:p>
    <w:p>
      <w:r>
        <w:t>Bundesstrafgericht, 2018-09-04, IT</w:t>
      </w:r>
    </w:p>
    <w:p>
      <w:r>
        <w:rPr>
          <w:b/>
        </w:rPr>
        <w:t xml:space="preserve">Quelle: </w:t>
      </w:r>
      <w:r>
        <w:t>https://mcp.opencaselaw.ch/entscheid/bstger_RR.2018.182</w:t>
      </w:r>
    </w:p>
    <w:p>
      <w:r>
        <w:t>FR: TPF RR.2018.182 du 4 septembre 2018</w:t>
      </w:r>
    </w:p>
    <w:p>
      <w:r>
        <w:t>IT: TPF RR.2018.182 del 4 settembre 2018</w:t>
      </w:r>
    </w:p>
    <w:p>
      <w:pPr>
        <w:pStyle w:val="Heading2"/>
      </w:pPr>
      <w:r>
        <w:t>Regeste</w:t>
      </w:r>
    </w:p>
    <w:p>
      <w:r>
        <w:t>Assistenza giudiziaria inernazionale in materia penale all'italia. Consegna a scopo di confisca.</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sono anche la Convenzione concernente le misure da adottare per interdire e impe- dire l'illecita importazione, esportazione e trasferimento di proprietà dei beni cul- turali, conclusa a Parigi il 14 novembre 1970, entrata in vigore il 3 gennaio 2004 per la Svizzera ed il 2 gennaio 1979 per l'Italia (Convenzione UNESCO; RS 0.444.1), l'Accordo tra il Consiglio federale svizzero e il Governo della Repub- blica Italiana sull'importazione e il rimpatrio di beni culturali del 20 ottobre 2006 (RS 0.444.145.41), entrato in vigore mediante scambio di note il 27 aprile 2008, nonché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relativi atti normativi in materia di assistenza giudiziaria (art. 39 cpv. 2 lett. b LOAP e 12 cpv. 1 AIMP; v. DANGUBIC/KESHELAVA, Commentario basilese, Internationales Strafrecht, 2015, n. 1 e segg. ad art. 12 AIMP), di cui al precedente conside- rando.</w:t>
      </w:r>
    </w:p>
    <w:p>
      <w:r>
        <w:rPr>
          <w:b/>
        </w:rPr>
        <w:t>E. 1.4</w:t>
      </w:r>
    </w:p>
    <w:p>
      <w:r>
        <w:t>Interposto tempestivamente contro la sopraccitata decisione di chiusura, il ri- corso è ricevibile sotto il profilo degli art. 25 cpv. 1, 80e cpv. 1 e 80k AIMP. Locataria del “mini caveau” nel quale è stato rinvenuto il dipinto oggetto della</w:t>
      </w:r>
    </w:p>
    <w:p>
      <w:r>
        <w:t>- 5 -</w:t>
      </w:r>
    </w:p>
    <w:p>
      <w:r>
        <w:t>decisione impugnata, A. è legittimata a ricorrere (v. art. 9a lett. b OAIMP; TPF 2007 79 consid. 1.6 pag. 82).</w:t>
      </w:r>
    </w:p>
    <w:p>
      <w:r>
        <w:rPr>
          <w:b/>
        </w:rPr>
        <w:t>E. 2</w:t>
      </w:r>
    </w:p>
    <w:p>
      <w:r>
        <w:t>La ricorrente sostiene innanzitutto che la decisione impugnata non rispette- rebbe il principio della doppia punibilità.</w:t>
      </w:r>
    </w:p>
    <w:p>
      <w:r>
        <w:rPr>
          <w:b/>
        </w:rPr>
        <w:t>E. 2.1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rPr>
          <w:b/>
        </w:rPr>
        <w:t>E. 2.2</w:t>
      </w:r>
    </w:p>
    <w:p>
      <w:r>
        <w:t>In concreto, la ricorrente è stata condannata il 9 marzo 2017, unitamente a D., ad una pena di un anno e due mesi di reclusione per il reato di cui all'art. 174 Decreto legislativo n. 42/2004, per avere, in concorso con D., e con B. (già con- dannato mediante patteggiamento), trasferito in territorio elvetico, in assenza della prescritta licenza di esportazione, il dipinto olio su tela raffigurante "Ritratto di Isabella d'Este", dimensioni cm 61x46,5, attribuito al maestro Leonardo da Vinci e comunque opera pittorica risalente al XVI secolo (v. atto 100, allegato 8, MP/TI). Tale sentenza è stata confermata il 17 luglio 2017 dalla Corte di Ap- pello di Ancona (v. atto 100, allegato 9, MP/TI) e dopo la sentenza della Corte suprema di cassazione italiana, che ha dichiarato inammissibile il ricorso pro- posto da A. e da D. contro la sentenza d'appello, la condanna è divenuta irre- vocabile ed esecutiva (v. atto 100, allegato 10, MP/TI). Ora, se trasposti nel</w:t>
      </w:r>
    </w:p>
    <w:p>
      <w:r>
        <w:t>- 6 -</w:t>
      </w:r>
    </w:p>
    <w:p>
      <w:r>
        <w:t>diritto svizzero, i medesimi fatti sarebbero senz'altro sussumibili al reato previ- sto all'art. 24 della legge federale sul trasferimento internazionale dei beni cul- turali (LTBC; RS 444.1), il quale prevede che, salvo che per il reato sia commi- nata una pena più severa in virtù di un'altra disposizione, è punito con la deten- zione fino a un anno o con la multa fino a 100'000 franchi chiunque, intenzio- nalmente: importa, vende, distribuisce, procura per mediazione, acquista o esporta beni culturali rubati o andati persi contra la volontà del proprietario (lett. a); si appropria di prodotti di scavi ai sensi dell'articolo 724 del Codice civile (lett. b); importa illecitamente beni culturali o li dichiara in modo inesatto all'importa- zione o al transito (lett. c); esporta illecitamente o dichiara in modo inesatto all'esportazione beni culturali iscritti nell'Elenco federale (lett. d). In questo am- bito, la dottrina ha del resto già avuto modo di evidenziare che, grazie alla nor- mativa in questione, la condizione della doppia punibilità è ugualmente soddi- sfatta se i fatti alla base della domanda di assistenza estera si riferiscono uni- camente a esportazioni o importazioni illecite di beni culturali. Prima dell'entrata in vigore della LTBC, ossia il 1° giugno 2005, se la condizione della doppia punibilità non era adempiuta in relazione ad un'altra disposizione, le autorità svizzere non potevano, ad esempio, dare seguito positivo ad una rogatoria con la quale veniva richiesto il sequestro di un bene culturale la cui esportazione era vietata nello Stato richiedente, ma che era stato nondimeno esportato ille- galmente in Svizzera o in un altro Stato (v. BOMIO, L'entraide internationale et les biens culturels, in Renold (ed.), L'entraide judiciaire internationale dans le domaine des biens culturels, 2011, p. 26 e seg.). È d'uopo precisare che la normativa penale svizzera in questione trae le proprie origini dalla Convenzione UNESCO, e più precisamente dai suoi art. 8 e 10 (v. GABUS/RENOLD, Commen- taire LTBC, 2006, n. 1 e segg. ad art. 24 LTBC). Giusta l'art. 8 Convenzione UNESCO, gli Stati parti della Convenzione s'impegnano a imporre sanzioni pe- nali o amministrative a qualsiasi persona responsabile di una infrazione ai divieti previsti negli articoli 6 b) e 7 b) della Convenzione. L'art. 6 a) Convenzione UNESCO prevede che gli Stati parti alla Convenzione s'impegnano a istituire un certificato appropriato mediante il quale lo Stato esportatore specifica che l'esportazione del o dei beni culturali in questione è autorizzata. Tale certificato deve accompagnare il o i beni culturali regolarmente esportati. Secondo l'art. 6 b) della stessa Convenzione, gli Stati s'impegnano a proibire l'esportazione dal proprio territorio dei beni culturali non accompagnati dal certificato di esporta- zione sopra menzionato. Ciò vuol dire, in definitiva, che già solo il fatto di non dichiarare in Svizzera l'esportazione di un bene culturale (e quindi di non di- sporre del certificato d'esportazione) viola la normativa in questione. Quanto precede permette quindi di ritenere adempiuto il requisito della doppia punibilità e di respingere la censura della ricorrente.</w:t>
      </w:r>
    </w:p>
    <w:p>
      <w:r>
        <w:rPr>
          <w:b/>
        </w:rPr>
        <w:t>E. 3</w:t>
      </w:r>
    </w:p>
    <w:p>
      <w:r>
        <w:t>Premettendo che la cooperazione in materia penale sarebbe di fatto facoltativa e che l'art. 74 AIMP sarebbe una disposizione che non statuisce un obbligo,</w:t>
      </w:r>
    </w:p>
    <w:p>
      <w:r>
        <w:t>- 7 -</w:t>
      </w:r>
    </w:p>
    <w:p>
      <w:r>
        <w:t>bensì una facoltà, l'insorgente afferma che la consegna all'Italia del dipinto liti- gioso sarebbe completamente sproporzionata oltre che infondata. Tenuto conto del fatto che lo stesso sarebbe stato acquisito in modo del tutto lecito e che il medesimo, da svariati decenni in Svizzera, si sarebbe trovato in Italia solo per due o tre ore, l'autorità d'esecuzione, con la contestata decisione, avrebbe su- perato, se non violato, in modo crasso il proprio margine di valutazione e azione.</w:t>
      </w:r>
    </w:p>
    <w:p>
      <w:r>
        <w:rPr>
          <w:b/>
        </w:rPr>
        <w:t>E. 3.1</w:t>
      </w:r>
    </w:p>
    <w:p>
      <w:r>
        <w:t>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Secondo l'art. 74a cpv. 4 AIMP, gli oggetti o i beni possono essere trattenuti in Svizzera se: il danneggiato cui devono essere re- 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Non vengono consegnati gli oggetti e i beni di cui al capoverso 1 che spettano alla Svizzera in esecuzione di un accordo di ripartizione in applica- zione della legge federale del 19 marzo 2004 sulla ripartizione dei valori patri- moniali confiscati (LRVC; RS 312.4).</w:t>
      </w:r>
    </w:p>
    <w:p>
      <w:r>
        <w:rPr>
          <w:b/>
        </w:rPr>
        <w:t>E. 3.2</w:t>
      </w:r>
    </w:p>
    <w:p>
      <w:r>
        <w:t>Orbene, se è vero che l'art. 74a AIMP lascia un grande margine d'apprezza- mento all'autorità d'esecuzione per decidere se e a quali condizioni una conse- gna può avere luogo, occorre constatare che in concreto non vi sono motivi particolari – la dottrina cita i casi d'abuso (v. AEPLI, Commentario basilese, 2015, n. 10 ad art. 74a AIMP) – che si oppongono ad una consegna del dipinto litigioso. Che il dipinto si sia trovato per svariati decenni in Svizzera e che la richiesta italiana si basi su una presenza dello stesso in Italia di poche ore, come asserito dalla ricorrente, non costituisce un caso d'abuso. La breve durata della presenza dell'opera in Italia non è infatti certamente né un fattore scriminante né discolpante, visto che ciò non toglie che esportazione illecita ci sia stata e che a tali condizioni la fattispecie sarebbe adempiuta anche secondo il diritto del nostro Paese (v. supra consid. 2.2). Che il passaggio della dogana con una simile opera soggiaccia a regole precise doveva del resto essere noto alla ri- corrente (v. già LOOSLI, Kulturgüterschutz in Italien, 1996, pag. 126 e segg.). Per quanto riguarda più particolarmente l'art. 74a cpv. 3 AIMP, si rileva che il margine di apprezzamento è legato al potere decisionale dell'autorità rogata in assenza di una decisione definitiva di confisca (v. DTF 123 II 595 consid. 4; cfr. anche DTF 123 II 268 consid. 4a). Quindi, nella misura in cui una decisione di confisca passata in giudicato è pacificamente data, essendo questa connessa</w:t>
      </w:r>
    </w:p>
    <w:p>
      <w:r>
        <w:t>- 8 -</w:t>
      </w:r>
    </w:p>
    <w:p>
      <w:r>
        <w:t>alla condanna penale della ricorrente (v. già supra consid. 2.2), e che non vi sono motivi per trattenere in Svizzera i valori litigiosi giusta l'art. 74a cpv. 4 AIMP, l'autorità d'esecuzione non ha abusato del proprio potere d'apprezza- mento e nulla osta alla consegna del dipinto litigioso alle autorità estere.</w:t>
      </w:r>
    </w:p>
    <w:p>
      <w:r>
        <w:rPr>
          <w:b/>
        </w:rPr>
        <w:t>E. 4</w:t>
      </w:r>
    </w:p>
    <w:p>
      <w:r>
        <w:t>La ricorrente afferma poi che non vi sarebbe nessuna base legale valida per la consegna del dipinto e che la CRic non sarebbe applicabile nella fattispecie. Ella aggiunge che l'autorità rogante non disporrebbe neppure di pretese civili sull'opera litigiosa, la quale sarebbe di sua proprietà.</w:t>
      </w:r>
    </w:p>
    <w:p>
      <w:r>
        <w:t>Come rilevato al considerando precedente, le basi legali per la consegna sono date. Che la ricorrente fosse la legittima proprietaria del dipinto non ha nessuna incidenza sulla decisione di consegna dello stesso allo Stato estero, il quale, sulla base della propria legislazione, lo ha confiscato (v. più ampiamente per quanto riguarda il diritto svizzero PIOTET, Les effets civils de la confiscation pé- nale, 1995, pag. 21 e seg.). Essendo la ricorrente stessa coautrice del reato, non si applica la riserva di cui all'art. 174 n. 3 del sopraccitato decreto, la cui logica corrisponde in sostanza al contenuto dell'art. 74a cpv. 4 lett. c AIMP. Le censure in questo ambito vanno quindi tutte disattese.</w:t>
      </w:r>
    </w:p>
    <w:p>
      <w:r>
        <w:rPr>
          <w:b/>
        </w:rPr>
        <w:t>E. 5</w:t>
      </w:r>
    </w:p>
    <w:p>
      <w:r>
        <w:t>In conclusione, il ricorso è integralmente respinto e la decisione impugnata con- 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