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RR.2018.180 vom 26. Juni 2018</w:t>
      </w:r>
    </w:p>
    <w:p>
      <w:r>
        <w:t>Bundesstrafgericht, 2018-06-26, DE</w:t>
      </w:r>
    </w:p>
    <w:p>
      <w:r>
        <w:rPr>
          <w:b/>
        </w:rPr>
        <w:t xml:space="preserve">Quelle: </w:t>
      </w:r>
      <w:r>
        <w:t>https://mcp.opencaselaw.ch/entscheid/bstger_RR.2018.180</w:t>
      </w:r>
    </w:p>
    <w:p>
      <w:r>
        <w:t>FR: TPF RR.2018.180 du 26 juin 2018</w:t>
      </w:r>
    </w:p>
    <w:p>
      <w:r>
        <w:t>IT: TPF RR.2018.180 del 26 giugno 2018</w:t>
      </w:r>
    </w:p>
    <w:p>
      <w:pPr>
        <w:pStyle w:val="Heading2"/>
      </w:pPr>
      <w:r>
        <w:t>Regeste</w:t>
      </w:r>
    </w:p>
    <w:p>
      <w:r>
        <w:t>Internationale Rechtshilfe in Strafsachen an Spanien. Teilnahme am Verfahren und Akteneinsicht (Art. 80b IRSG).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August 2007 E. 3.2);</w:t>
      </w:r>
    </w:p>
    <w:p>
      <w:r>
        <w:t>- weder geltend gemacht wird noch ersichtlich ist, dass sich der Beschwerde- führer in der Schweiz selber einer konkreten Massnahme zu unterwerfen hätte; ihm damit schon deshalb im geltend gemachten Rechtshilfeverfahren keine Parteistellung einzuräumen und er am Verfahren nicht teilnahmebe- rechtigt ist, weshalb die Beschwerde – ohne Durchführung eines Schriften- wechsels (Art. 57 Abs. 1 VwVG e contrario) – abzuweisen ist;</w:t>
      </w:r>
    </w:p>
    <w:p>
      <w:r>
        <w:t>- bei diesem Ausgang des Verfahrens die Gerichtskosten dem Beschwerde- führer aufzuerlegen sind (vgl. Art. 63 Abs. 1 VwVG); die Gerichtsgebühr auf Fr. 500.– festzusetzen ist (vgl. Art. 63 Abs. 5 VwVG i.V.m. Art. 73 StBOG sowie Art. 5 und Art. 8 Abs. 3 lit. a des Reglements des Bundesstrafgerichts vom 31. August 2010 über die Kosten, Gebühren und Entschädigungen in Bundesstrafverfahren [BStKR; SR 173.713.162]);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