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RR.2018.177 vom 28. Juni 2018</w:t>
      </w:r>
    </w:p>
    <w:p>
      <w:r>
        <w:t>Bundesstrafgericht, 2018-06-28, DE</w:t>
      </w:r>
    </w:p>
    <w:p>
      <w:r>
        <w:rPr>
          <w:b/>
        </w:rPr>
        <w:t xml:space="preserve">Quelle: </w:t>
      </w:r>
      <w:r>
        <w:t>https://mcp.opencaselaw.ch/entscheid/bstger_RR.2018.177</w:t>
      </w:r>
    </w:p>
    <w:p>
      <w:r>
        <w:t>FR: TPF RR.2018.177 du 28 juin 2018</w:t>
      </w:r>
    </w:p>
    <w:p>
      <w:r>
        <w:t>IT: TPF RR.2018.177 del 28 giugno 2018</w:t>
      </w:r>
    </w:p>
    <w:p>
      <w:pPr>
        <w:pStyle w:val="Heading2"/>
      </w:pPr>
      <w:r>
        <w:t>Regeste</w:t>
      </w:r>
    </w:p>
    <w:p>
      <w:r>
        <w:t>Internationale Rechtshilfe an Strafsachen an Deutschland. Entsiegelung (Art. 9 IRSG i.V.m. Art. 248 StPO).</w:t>
      </w:r>
    </w:p>
    <w:p>
      <w:pPr>
        <w:pStyle w:val="Heading2"/>
      </w:pPr>
      <w:r>
        <w:t>Erwägungen</w:t>
      </w:r>
    </w:p>
    <w:p>
      <w:r>
        <w:rPr>
          <w:b/>
        </w:rPr>
        <w:t>E. 29</w:t>
      </w:r>
    </w:p>
    <w:p>
      <w:r>
        <w:t>Mai 2018 dem Entsiegelungsgesuch der Staatsanwaltschaft entsprach und die Entsiegelung der E-Mail-Daten bewilligte (act. 1.1); - mit Eingabe vom 11. Juni 2018 A. und die B. AG durch ihren gemeinsamen Rechtsvertreter gegen die Entsiegelungsverfügung des Zwangsmassnah- mengerichts vom 29. Mai 2018 Beschwerde bei der Beschwerdekammer des Bundesstrafgerichts erhoben; - die Beschwerdeführer die Aufhebung der Entsiegelungsverfügung und die Abweisung des Antrags der Staatsanwaltschaft auf Entsiegelung beantrag- ten; sie des Weiteren beantragten, es sei der Beschwerde aufschiebende Wirkung gemäss Art. 80l Abs. 3 IRSG zu erteilen, alles unter Kosten- und Entschädigungsfolgen zu Lasten des Staates (act. 1); - für die Rechtshilfe zwischen Deutschland und der Schweiz in erster Linie das Europäische Übereinkommen über die Rechtshilfe in Strafsachen vom</w:t>
      </w:r>
    </w:p>
    <w:p>
      <w:r>
        <w:t>- 3 -</w:t>
      </w:r>
    </w:p>
    <w:p>
      <w:r>
        <w:t>20. April 1959 (EUeR; SR 0.351.1), dem beide Staaten beigetreten sind, so- wie der zwischen ihnen abgeschlossene Zusatzvertrag vom 13. Novem- ber 1969 (ZV-D/EUeR; SR 0.351.913.1) massgebend sind; überdies die Bestimmungen der Art. 48 ff. des Übereinkommens vom 19. Juni 1990 zur Durchführung des Übereinkommens von Schengen vom 14. Juni 1985 (Schengener Durchführungsübereinkommen, SDÜ; ABl. L 239 vom 22. Sep- tember 2000, S. 19-62) zur Anwendung gelangen, wobei die zwischen den Vertragsparteien geltenden weitergehenden Bestimmungen aufgrund bilate- raler Abkommen unberührt bleiben (Art. 48 Abs. 2 SDÜ); das Betrugsbe- kämpfungsabkommen (BBA; SR 0.351.926.81) und weitere Staatsverträge zur Anwendung gelangen, soweit das betreffende Rechtshilfeersuchen im Geltungsbereich dieser Abkommen fällt; - das Rechtshilfegesetz (IRSG; SR 351.1) und die Verordnung über internati- onale Rechtshilfe in Strafsachen vom 24. Februar 1982 (IRSV; SR 351.11) zur Anwendung gelangen, soweit das Staatsvertragsrecht bestimmte Fragen nicht abschliessend regelt (Art. 1 Abs. 1 IRSG; BGE 130 II 337 E. 1 S. 339; 128 II 355 E. 1 S. 357; 124 II 180 E. 1a S. 181); das innerstaatliche Recht nach dem Günstigkeitsprinzip auch dann gilt, wenn dieses geringere Anfor- derungen an die Rechtshilfe stellt (BGE 142 IV 250 E. 3; 140 IV 123 E. 2; 137 IV 33 E. 2.2.2, jeweils mit weiteren Hinweisen); die Wahrung der Men- schenrechte vorbehalten bleibt (BGE 135 IV 212 E. 2.3; 123 II 595 E. 7c); - die Verfügung der ausführenden kantonalen Behörde oder der ausführenden Bundesbehörde, mit der das Rechtshilfeverfahren abgeschlossen wird, zu- sammen mit den vorangehenden Zwischenverfügungen der Beschwerde an die Beschwerdekammer des Bundesstrafgerichts unterliegt (Art. 80e Abs. 1 IRSG); - gemäss Art. 80e Abs. 2 IRSG der Schlussverfügung vorangehende Zwi- schenverfügungen nur selbständig angefochten werden können, sofern sie einen unmittelbaren und nicht wieder gutzumachenden Nachteil bewirken:</w:t>
      </w:r>
    </w:p>
    <w:p>
      <w:r>
        <w:t>a. durch die Beschlagnahme von Vermögenswerten und Wertgegenstän-</w:t>
      </w:r>
    </w:p>
    <w:p>
      <w:r>
        <w:t>den; oder</w:t>
      </w:r>
    </w:p>
    <w:p>
      <w:r>
        <w:t>b. durch die Anwesenheit von Personen, die am ausländischen Prozess</w:t>
      </w:r>
    </w:p>
    <w:p>
      <w:r>
        <w:t>beteiligt sind;</w:t>
      </w:r>
    </w:p>
    <w:p>
      <w:r>
        <w:t>- nach der bundesgerichtlichen Auslegung die Aufzählung der selbständig an- fechtbaren Zwischenverfügungen in lit. a und b von Art. 80e Abs. 2 IRSG grundsätzlich abschliessend ist (s. BGE 126 II 495);</w:t>
      </w:r>
    </w:p>
    <w:p>
      <w:r>
        <w:t>- 4 -</w:t>
      </w:r>
    </w:p>
    <w:p>
      <w:r>
        <w:t>- der Entscheid über die Entsiegelung nach der Rechtsprechung eine nicht selbständig anfechtbare Zwischenverfügung im Rechtshilfeverfahren dar- stellt, welche zusammen mit der Schlussverfügung angefochten werden kann (s. Art. 80e Abs. 2 lit. a und b IRSG e contrario; BGE 138 IV 40 E. 2.3.1, 127 II 151 E. 4c/bb S. 156; 126 II 495 E. 3 und E. 5e/bb-dd S. 503 ff.; TPF 2017 66 E. 4.1; Entscheide des Bundesstrafgerichts RR.2016.17 vom 10. Februar 2016; RR.2014.47 vom 6. Juni 2014);</w:t>
      </w:r>
    </w:p>
    <w:p>
      <w:r>
        <w:t>- der angefochtene Entsieglungsentscheid des Zwangsmassnahmengerichts damit eine nicht selbständig anfechtbare Zwischenverfügung im Rechtshilfe- verfahren darstellt, welche nur zusammen mit der Schlussverfügung ange- fochten werden kann (s.o.);</w:t>
      </w:r>
    </w:p>
    <w:p>
      <w:r>
        <w:t>- die Beschwerdeführer in ihrer Beschwerde mit keinem Wort ausführten, wes- halb vorliegend eine Ausnahme von der restriktiven gesetzlichen Regelung in Art. 80e Abs. 2 lit. a und b IRSG zulässig sein soll; sie mit ihren Vorbringen in der Sache (act. 1 S. 2 f.) ebenso wenig eine solche Ausnahme darlegten;</w:t>
      </w:r>
    </w:p>
    <w:p>
      <w:r>
        <w:t>- nach dem Gesagten auf die Beschwerde nicht einzutreten ist;</w:t>
      </w:r>
    </w:p>
    <w:p>
      <w:r>
        <w:t>- das Gesuch der Beschwerdeführer um Erteilung der aufschiebenden Wir- kung (act. 1) mit dem vorliegenden Entscheid hinfällig wird und als gegen- standslos geworden abzuschreiben ist;</w:t>
      </w:r>
    </w:p>
    <w:p>
      <w:r>
        <w:t>- bei diesem Ausgang des Verfahrens die Beschwerdeführer kostenpflichtig werden (Art. 63 Abs. 1 VwVG i.V.m. Art. 39 Abs. 1 lit. b StBOG); für die Be- rechnung der Gerichtsgebühr gemäss Art. 63 Abs. 5 VwVG das Reglement des Bundesstrafgerichts vom 31. August 2010 über die Kosten, Gebühren und Entschädigungen im Bundesstrafverfahren (BStKR; SR 173.713.162) zur Anwendung gelangt; die Gerichtsgebühr vorliegend auf Fr. 2'000.-- an- zusetzen ist, unter Anrechnung des entsprechenden Betrages aus dem ge- leisteten Kostenvorschuss in der Höhe von Fr. 4'000.--; die Bundesstrafge- richtskasse anzuweisen ist, den Beschwerdeführern den Restbetrag in der Höhe von Fr. 2'000.-- zurückzuerstatten.</w:t>
      </w:r>
    </w:p>
    <w:p>
      <w:r>
        <w:t>- 5 -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