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RR.2018.161 vom 2. Oktober 2018</w:t>
      </w:r>
    </w:p>
    <w:p>
      <w:r>
        <w:t>Bundesstrafgericht, 2018-10-02, IT</w:t>
      </w:r>
    </w:p>
    <w:p>
      <w:r>
        <w:rPr>
          <w:b/>
        </w:rPr>
        <w:t xml:space="preserve">Quelle: </w:t>
      </w:r>
      <w:r>
        <w:t>https://mcp.opencaselaw.ch/entscheid/bstger_RR.2018.161</w:t>
      </w:r>
    </w:p>
    <w:p>
      <w:r>
        <w:t>FR: TPF RR.2018.161 du 2 octobre 2018</w:t>
      </w:r>
    </w:p>
    <w:p>
      <w:r>
        <w:t>IT: TPF RR.2018.161 del 2 ottobre 2018</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136 IV 82 consid. 3.1; 135 IV 212 consid. 2.3).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2015, n. 1 e segg. ad art. 12 AIMP), di cui al precedente considerando.</w:t>
      </w:r>
    </w:p>
    <w:p>
      <w:r>
        <w:rPr>
          <w:b/>
        </w:rPr>
        <w:t>E. 1.4</w:t>
      </w:r>
    </w:p>
    <w:p>
      <w:r>
        <w:t>Interposti tempestivamente contro le decisioni di chiusura del 17 aprile 2018, i ricorsi sono ricevibili sotto il profilo degli art. 25 cpv. 1, 80e cpv. 1 e 80k AIMP.</w:t>
      </w:r>
    </w:p>
    <w:p>
      <w:r>
        <w:rPr>
          <w:b/>
        </w:rPr>
        <w:t>E. 1.5</w:t>
      </w:r>
    </w:p>
    <w:p>
      <w:r>
        <w:t>In quanto titolare delle tre relazioni bancarie oggetto delle decisioni impu- gnate, la legittimazione ricorsuale di A. è data.</w:t>
      </w:r>
    </w:p>
    <w:p>
      <w:r>
        <w:t>- 6 -</w:t>
      </w:r>
    </w:p>
    <w:p>
      <w:r>
        <w:rPr>
          <w:b/>
        </w:rPr>
        <w:t>E. 2</w:t>
      </w:r>
    </w:p>
    <w:p>
      <w:r>
        <w:t>Il ricorrente ha innanzitutto postulato la riunione di tutte le procedure concer- nenti i ricorsi di cui sopra (v. Fatti lett. K).</w:t>
      </w:r>
    </w:p>
    <w:p>
      <w:r>
        <w:t>Ora, ritenuto che A. è il ricorrente nelle tre procedure qui in esame, che egli è patrocinato nei tre casi dai medesimi avvocati e che i ricorsi concernono un medesimo contesto giuridico e fattuale e contengono motivazioni praticamente identiche, per motivi di economia processuale si giustifica di procedere alla con- giunzione delle cause in questione e di pronunciare un unico giudizio (in questo ambito v. DTF 126 V 283 consid. 1; sentenza del Tribunale federale 1C_89- 93/2012 del 9 febbraio 2012, consid. 1; B. BOVAY, Procédure administrative, 2a ediz., 2015, pag. 606; A. KÖLZ/I. HÄNER/M. BERTSCHI, Verwaltungsverfahren und Verwaltungsrechtspflege des Bundes, 3a ediz., 2013, n. 927).</w:t>
      </w:r>
    </w:p>
    <w:p>
      <w:r>
        <w:rPr>
          <w:b/>
        </w:rPr>
        <w:t>E. 3.1</w:t>
      </w:r>
    </w:p>
    <w:p>
      <w:r>
        <w:t>Con le proprie impugnative, l’insorgente censura innanzitutto la mancanza di corrispondenza tra le richieste contenute nella domanda rogatoriale e l’oggetto delle decisioni di chiusura impugnate. Più precisamente, la domanda estera fa- rebbe unicamente menzione della relazione n. 1 intestata a C. Corp. ed il MPC avrebbe dunque autorizzato a torto la trasmissione della documentazione rela- tiva al conto n. 4 la banca G. ed ai conti n. 3 presso H. e n. 3 presso la banca I., tutti intestati a A. La trasmissione dei summenzionati documenti costitui- rebbe, secondo il ricorrente, una potenziale illegale trasmissione spontanea di dati ai sensi dell’art. 67a AIMP e comporterebbe una violazione del principio della proporzionalità, non essendo i documenti forniti oggettivamente necessari o utili alla procedura pendente in Brasile.</w:t>
      </w:r>
    </w:p>
    <w:p>
      <w:r>
        <w:rPr>
          <w:b/>
        </w:rPr>
        <w:t>E. 3.2</w:t>
      </w:r>
    </w:p>
    <w:p>
      <w:r>
        <w:t>Le misure di assistenza giudiziaria internazionale devono in genere rispettare il principio della proporzionalità. Tale principio esige che vi sia una connessione fra la documentazione richiesta e il procedimento estero (DTF 130 II 193 con- sid. 4.3; 139 II 404 consid. 7.2.2; 136 IV 82 consid. 4.1/4.4; 129 II 462 con- sid. 5.3; 122 II 367 consid. 2c; sentenza del Tribunale penale federale RR.2016.257 del 26 maggio 2017 consid. 4.3.1), tuttavia la questione di sapere se le informazioni richieste nell'ambito di una domanda di assistenza siano ne- cessarie o utili per il procedimento estero deve essere lasciata, di massima, all'apprezzamento delle autorità richiedenti (sentenza del Tribunale penale fe- derale RR.2017.146 del 4 agosto 2017 consid. 2.1). Lo Stato richiesto non di- spone infatti dei mezzi per pronunciarsi sull'opportunità di assumere determi- nate prove e non può sostituirsi in questo compito all'autorità estera che con- duce le indagini (DTF 132 II 81 consid. 2.1 e rinvii). La richiesta di assunzione di prove può essere rifiutata solo se il principio della proporzionalità è manife- stamente disatteso (DTF 120 Ib 251 consid. 5c; sentenza del Tribunale penale federale RR.2017.21 dell’8 maggio 2017 consid. 3.1 e rinvii) o se la domanda</w:t>
      </w:r>
    </w:p>
    <w:p>
      <w:r>
        <w:t>- 7 -</w:t>
      </w:r>
    </w:p>
    <w:p>
      <w:r>
        <w:t>appare abusiva, le informazioni richieste essendo del tutto inidonee a far pro- gredire le indagini (DTF 122 II 134 consid. 7b; 121 II 241 consid. 3a; sentenza del Tribunale penale federale RR.2017.21 dell’8 maggio 2017 consid. 3.1 e rin- vii). Inoltre, da consolidata prassi, quando le autorità estere chiedono informa- zioni per ricostruire flussi patrimoniali di natura criminale si ritiene che necessi- tino di regola dell’integralità della relativa documentazione, in modo tale da chia- 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 sid. 2.1). Si tratta di una maniera di procedere necessaria, se del caso, ad ac- 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da parte delle autorità di esecuzione e del giudice dell’assistenza va limitato alla cosiddetta utilità potenziale, secondo cui la consegna giusta l'art. 74 AIMP è esclusa sol- tanto per quei mezzi di prova certamente privi di rilevanza per il procedimento penale all'estero (DTF 126 II 258 consid. 9c; 122 II 367 consid. 2c; 121 II 241 consid. 3a e b; TPF 2010 73 consid. 7.1).</w:t>
      </w:r>
    </w:p>
    <w:p>
      <w:r>
        <w:t>Il principio della proporzionalità impedisce all’autorità rogata di agire "ultra pe- 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sempreché tutte le condizioni per con- cedere l'assistenza siano comunque adempiute; si evita così che lo Stato estero sia costretto a presentare domande complementari (DTF 136 IV 82 consid. 4.1; 121 II 241 consid. 3), creando il rischio di passaggi a vuoto in contrasto con l’obbligo di celerità giusta l’art. 17a AIMP. Alle predette condizioni possono quindi essere trasmessi delle informazioni e dei documenti non espressamente menzionati nella domanda di assistenza (TPF 2009 161 consid. 5.2; sentenze del Tribunale penale federale RR.2016.237-238 del 22 agosto 2017 consid. 5; RR.2010.39 del 28 aprile 2010 consid. 5.1; RR.2010.8 del 16 aprile 2010 con- sid. 2.2) ed incombe alla persona toccata dalla misura dimostrare in maniera chiara e precisa perché i documenti e le informazioni in questione vanno oltre il senso che si può ragionevolmente attribuire alla domanda rogatoriale, rispetti- vamente non presentano nessun interesse per la procedura estera.</w:t>
      </w:r>
    </w:p>
    <w:p>
      <w:r>
        <w:t>- 8 -</w:t>
      </w:r>
    </w:p>
    <w:p>
      <w:r>
        <w:rPr>
          <w:b/>
        </w:rPr>
        <w:t>E. 3.3</w:t>
      </w:r>
    </w:p>
    <w:p>
      <w:r>
        <w:t>Con la propria commissione rogatoria del 4 settembre 2017, l’autorità estera ha spiegato che il sospetto relativo al riciclaggio di denaro sarebbe sorto a seguito di una procedura fiscale aperta per l’analisi e il controllo delle spese operative e dei passivi nei confronti di B. Ltda, che avrebbe presentato spese eccessiva- mente elevate rispetto ai risultati netti dell’esercizio 2011. Dal 2010 al 2011, i profitti lordi della società sarebbero aumentati da BRL 13 milioni a BRL 251 milioni grazie all’esportazione di prodotti agricoli verso il Venezuela. Negli anni 2011 e 2012, B. Ltda avrebbe pagato più di BRL 80 milioni a titolo di commis- sioni in favore di C. Corp., D. LTDA (società riferibile a A.) e di una terza persona non identificata. Dalle indagini sarebbe dunque emersa l'esistenza di un sofisti- cato sistema fraudolento legato all'esportazione di macchinari e prodotti agricoli sopravvalutati e venduti alla società statale venezuelana F. S/A, attraverso tran- sazioni bancarie complesse finalizzate a nascondere l'origine e la destinazione dei valori illeciti. Rispetto al totale dei valori percepiti, B. Ltda avrebbe pagato solo BRL 54'754'169.89 ai fornitori dei macchinari agricoli, mentre la somma di BRL 84'127'701.42 sarebbe stata pagata, a titolo di "commissioni" e prestazioni di servizi, verosimilmente non giustificati, a favore di società riconducibili a A. e ad altri. In questo modo gli indagati avrebbero ottenuto notevoli somme di de- naro a titolo di commissioni per servizi non realizzati, causando danni all'im- presa statale venezuelana, mediante una frode consistente nella sopravvaluta- zione del valore dei macchinari agricoli esportati da B. Ltda. Sempre secondo quanto indicato dall'autorità rogante, una parte del denaro ricevuto da B. Ltda sarebbe rimasto in Brasile nella disponibilità, tra altri, di A., mentre un'altra parte sarebbe poi stata trasferita verso relazioni bancarie situate in Svizzera e negli Stati Uniti, appartenenti a società domiciliate in paradisi fiscali. Durante le inda- gini sarebbe emerso che B. Ltda avrebbe inviato ingenti somme di denaro a diverse società a titolo di commissioni, di cui una parte sarebbe stata pagata senza la presentazione dei relativi contratti per la prestazione di servizi. C. Corp. avrebbe ricevuto circa BRL 11'152'148.08 apparentemente senza alcuna giu- stificazione. Parte di questa somma sarebbe stata ricevuta da C Corp. il</w:t>
      </w:r>
    </w:p>
    <w:p>
      <w:r>
        <w:rPr>
          <w:b/>
        </w:rPr>
        <w:t>E. 3.4</w:t>
      </w:r>
    </w:p>
    <w:p>
      <w:r>
        <w:t>Dall’analisi della documentazione bancaria concernente le relazioni del ricor- rente – indagato nell'inchiesta estera – emergono operazioni connesse con la fattispecie descritta in rogatoria.</w:t>
      </w:r>
    </w:p>
    <w:p>
      <w:r>
        <w:rPr>
          <w:b/>
        </w:rPr>
        <w:t>E. 3.4.1</w:t>
      </w:r>
    </w:p>
    <w:p>
      <w:r>
        <w:t>Relativamente alla relazione n. 4 intestata a A. e sita presso la banca G., accesa nell’ottobre 2011 e chiusa nel dicembre 2013, va osservato quanto segue. Dalle decisioni di chiusura, risulta che nel 2013 la relazione n. 1 oggetto della do- manda rogatoriale (la quale, stando alle informazioni fornite dalle autorità estere, tra il 2012 ed il 2013 avrebbe in particolare ricevuto circa USD 8,5 milioni da B. Ltda) avrebbe alimentato per circa USD 3,7 milioni il conto n. 2 intestato a C. Corp. presso la banca H. conto quest’ultimo che sempre nel 2013 avrebbe pure ricevuto bonifici per circa USD 60’000.-- dalla relazione n. 4. Dalla docu- mentazione oggetto di trasmissione, si evince inoltre che la relazione n. 4 è a sua volta stata accreditata per un totale di USD 120’000.-- tra il 2011 ed il 2013 dalla relazione n. 1.</w:t>
      </w:r>
    </w:p>
    <w:p>
      <w:r>
        <w:rPr>
          <w:b/>
        </w:rPr>
        <w:t>E. 3.4.2</w:t>
      </w:r>
    </w:p>
    <w:p>
      <w:r>
        <w:t>Per quanto concerne la relazione n. 3 – accesa nel maggio 2013 presso la banca H. e trasferita, nel febbraio 2016, presso la banca I., quindi estinta nell’ot- tobre 2016 – questa sarebbe stata alimentata, secondo quanto indicato nelle decisioni di chiusura impugnate, sia dal conto n. 2 summenzionato per un im- porto di circa USD 1,6 milioni tra il 2013 ed il 2016, che, il 20 dicembre 2013, dalla relazione n. 4 riferibile a A. per USD 63'696.-- (v. RR.2018.161 act. 1.2 pag. 5 e seg., act. 7.1 allegato 6; RR.2018.162 act. 1.2 pag. 5 e seg., act. 8.1; RR.2018.163 act. 1.2 pag. 5 e seg., act. 7.1).</w:t>
      </w:r>
    </w:p>
    <w:p>
      <w:r>
        <w:rPr>
          <w:b/>
        </w:rPr>
        <w:t>E. 3.5</w:t>
      </w:r>
    </w:p>
    <w:p>
      <w:r>
        <w:t>In concreto, risulta chiaramente dalla domanda di assistenza che le autorità estere intendono ricostruire il flusso dei fondi di presunta origine illecita senza limitare le loro indagini al conto n. 1 menzionato nella rogatoria, tant’è che esse medesime specificano di necessitare delle:</w:t>
      </w:r>
    </w:p>
    <w:p>
      <w:r>
        <w:t>“informations concernant la période de 2010 — conformément les indicateurs de la pratique de l' infraction précédente — jusqu'au moment actuel, concernant la mouvementation financière de l’'entreprise soumise à l'enquête, acheminant aux autorités brésiliennes les données et tous les documents sur l'ouverture du compte bancaire et son identification, les rélévés bancaires avec la mouvemen- tation financière et les données pour demontrer l'origine et le destin des avoirs y compris avec l'identification de ceux qui ont fait des versements. et de ceux qui ont fait des prélèvements des montants au sujet de la période demandée” È dunque evidente che la documentazione relativa ai conti intestati a A., per- sona indagata nell’ambito della procedura penale brasiliana, e che hanno rice- vuto direttamente o indirettamente fondi da parte della relazione individuata dalle autorità estere (v. supra consid. 3.4), abbia un nesso diretto con la fatti- specie descritta nella commissione rogatoria, e ciò nonostante i conti oggetto della presente procedura ricorsuale non siano stati espressamente individuati dalle autorità estere. Scopo della trasmissione è infatti di permettere di verificare</w:t>
      </w:r>
    </w:p>
    <w:p>
      <w:r>
        <w:t>- 10 -</w:t>
      </w:r>
    </w:p>
    <w:p>
      <w:r>
        <w:t>i flussi di denaro, in cui indubbiamente il ricorrente ed i conti oggetto della do- manda estera sono coinvolti. In definitiva, la documentazione oggetto delle de- cisioni di chiusura impugnate può senz’altro risultare utile e di interesse per l’in- chiesta estera. Vista la natura dei reati perseguiti all’estero, tutta la documenta- zione relativa alle relazioni coinvolte è necessaria per ricostruire con la massima precisione e in maniera completa i flussi di denaro intervenuti.</w:t>
      </w:r>
    </w:p>
    <w:p>
      <w:r>
        <w:rPr>
          <w:b/>
        </w:rPr>
        <w:t>E. 3.6</w:t>
      </w:r>
    </w:p>
    <w:p>
      <w:r>
        <w:t>Ne deriva che, in concreto, il principio della proporzionalità non è violato dalle decisioni impugnate.</w:t>
      </w:r>
    </w:p>
    <w:p>
      <w:r>
        <w:t>Spetterà comunque al giudice estero del merito valutare se dalla documenta- zione richiesta emerge in concreto una connessione penalmente rilevante fra i fatti perseguiti in Brasile e detta documentazione. Alla luce della domanda ro- gatoriale, che ben specifica la fattispecie oggetto di indagine, risulta che tutta la documentazione litigiosa è potenzialmente utile per l’inchiesta, motivo per cui la sua trasmissione rispetta il principio della proporzionalità ed è conforme alla consolidata giurisprudenza citata al consid. 3.2.</w:t>
      </w:r>
    </w:p>
    <w:p>
      <w:r>
        <w:rPr>
          <w:b/>
        </w:rPr>
        <w:t>E. 3.7</w:t>
      </w:r>
    </w:p>
    <w:p>
      <w:r>
        <w:t>Invano il ricorrente si aggrappa ad un’asserita illegale trasmissione spontanea di mezzi di prova e di informazioni. In effetti, avendo il MPC ordinato la trasmis- sione della documentazione qui in oggetto tramite tre separate decisioni di chiu- sura, è ovvio che non si possa trattare di un caso di applicazione dell’art. 67a AIMP.</w:t>
      </w:r>
    </w:p>
    <w:p>
      <w:r>
        <w:t>4. Infondata risulta pure la censura del ricorrente relativa alla tardività della richie- sta di assistenza giudiziaria, dovendo a suo parere il ministero pubblico federale brasiliano presentare fatti e prove prima di promuovere l’accusa.</w:t>
      </w:r>
    </w:p>
    <w:p>
      <w:r>
        <w:t>In proposito, va precisato che non tocca all'autorità d'esecuzione conoscere la procedura estera per sapere sino a quando l'autorità di perseguimento estera può presentare mezzi di prova al giudice del merito. In concreto, dagli atti risulta che l’inchiesta estera sia tuttora pendente e, comunque sia, l'autorità rogante non ha ritirato la propria rogatoria. Vi è pertanto da concludere ch'essa continui a necessitare di quanto richiesto.</w:t>
      </w:r>
    </w:p>
    <w:p>
      <w:r>
        <w:t>Anche tale censura va, pertanto, disattesa.</w:t>
      </w:r>
    </w:p>
    <w:p>
      <w:r>
        <w:rPr>
          <w:b/>
        </w:rPr>
        <w:t>E. 5</w:t>
      </w:r>
    </w:p>
    <w:p>
      <w:r>
        <w:t>In definitiva, le decisioni impugnate vanno integralmente confermate e i gravami respinti.</w:t>
      </w:r>
    </w:p>
    <w:p>
      <w:r>
        <w:t>- 11 -</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complessivi fr. 6’000.-- (fr. 2'000.-- per ogni gravame). Essa è coperta dagli anticipi delle spese già versati. Contrariamente a quanto postulato dal ricorrente, la congiunzione delle cause ha certo prodotto sinergie, ma non nei termini di cui sopra al punto K. Le spese complessive sono state dunque ridotte (v. art. 63 cpv. 4 PA), ma non in maniera così massiccia come domandato nei ricorsi.</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