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RR.2018.155 vom 29. Mai 2018</w:t>
      </w:r>
    </w:p>
    <w:p>
      <w:r>
        <w:t>Bundesstrafgericht, 2018-05-29, FR</w:t>
      </w:r>
    </w:p>
    <w:p>
      <w:r>
        <w:rPr>
          <w:b/>
        </w:rPr>
        <w:t xml:space="preserve">Quelle: </w:t>
      </w:r>
      <w:r>
        <w:t>https://mcp.opencaselaw.ch/entscheid/bstger_RR.2018.155</w:t>
      </w:r>
    </w:p>
    <w:p>
      <w:r>
        <w:t>FR: TPF RR.2018.155 du 29 mai 2018</w:t>
      </w:r>
    </w:p>
    <w:p>
      <w:r>
        <w:t>IT: TPF RR.2018.155 del 29 maggio 2018</w:t>
      </w:r>
    </w:p>
    <w:p>
      <w:pPr>
        <w:pStyle w:val="Heading2"/>
      </w:pPr>
      <w:r>
        <w:t>Regeste</w:t>
      </w:r>
    </w:p>
    <w:p>
      <w:r>
        <w:t>Entraide judiciaire internationale en matière pénale à la France. Remise de moyens de preuve (art. 74 EIMP).</w:t>
      </w:r>
    </w:p>
    <w:p>
      <w:pPr>
        <w:pStyle w:val="Heading2"/>
      </w:pPr>
      <w:r>
        <w:t>Erwägungen</w:t>
      </w:r>
    </w:p>
    <w:p>
      <w:r>
        <w:rPr>
          <w:b/>
        </w:rPr>
        <w:t>E. 24</w:t>
      </w:r>
    </w:p>
    <w:p>
      <w:r>
        <w:t>février 1982 (OEIMP; RS 351.11), sous réserve de l’application du droit interne aux questions qui ne sont pas réglées, explicitement ou implicitement, par les traités et lorsque le droit interne est plus favorable à l’entraide (ATF 142 IV 250 consid. 3; 140 IV 123 consid. 2; 137 IV 33 consid. 2.2.2; 136 IV 82 consid. 3.1); l’application de la norme la plus favorable doit avoir lieu dans le respect des droits fondamentaux (ATF 135 IV 212 consid. 2.3; 123 II 595 consid. 7c);</w:t>
      </w:r>
    </w:p>
    <w:p>
      <w:r>
        <w:t> en vertu de l’art. 37 al. 2 let. a de la loi fédérale du 19 mars 2010 sur l’organisation des autorités pénales de la Confédération (LOAP; RS 173.71), mis en relation avec les art. 25 al. 1 et 80e al. 1 EIMP et 19 du règlement du 31 août 2010 sur l’organisation du Tribunal pénal fédéral (ROTPF; RS 173.713.161), la Cour de céans est compétente pour connaître des recours dirigés contre les décisions de clôture de la procédure d’entraide rendues par l’autorité cantonale ou fédérale d’exécution et, conjointement, contre les décisions incidentes;  aux termes de l’art. 52 de la loi fédérale du 20 décembre 1968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(al. 2); l’autorité de recours avise en même temps le recourant que si le délai n'est pas utilisé, elle statuera sur la base du dossier ou si les conclusions, les motifs ou la signature manquent, elle déclarera le recours</w:t>
      </w:r>
    </w:p>
    <w:p>
      <w:r>
        <w:t>- 4 -</w:t>
      </w:r>
    </w:p>
    <w:p>
      <w:r>
        <w:t>irrecevable (al. 3);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 citée); dans ce domaine, les parties sont soumises à un véritable devoir de collaboration, dont la sanction peut être l’irrecevabilité de l’acte en question (v. art. 13 PA; ibidem.);  dès lors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un acte de recours complet et, partant, s’agissant du cas d’espèce, de produire à l’appui de celui-ci les documents attestant l’existence de la société recourante au moment du dépôt du recours, l’identité du signataire de la procuration et des pouvoirs qui lui ont été conférés par ladite société;  en l’occurrence, la société recourante, outre à avoir demandé la prolongation du délai imparti pour compléter son acte de recours – prolongation dont elle savait au demeurant qu’elle ne saurait être accordée –, n’a pas été en mesure de produire les documents requis par la Cour de céans sous peine d’irrecevabilité (v. supra; act. 3 et 6);  il s’ensuit que le recours formé par A. SA (procédure RR.2018.155; v. infra) doit être déclaré irrecevable;  l'économie de procédure peut commander à l'autorité saisie de plusieurs requêtes individuelles de les joindre ou, inversement, à l'autorité saisie soit d'une requête commune de plusieurs administrés (consorts), soit de prétentions étrangères entre elles par un même administré, de les diviser; le droit de procédure régit les conditions d'admission de la jonction et de la disjonction des causes (BOVAY, Procédure administrative, 2e éd. 2015, p. 218 s.); bien qu'elle ne soit pas prévue par la PA, applicable à la présente cause par renvoi des art. 12 al. 1 EIMP et 39 al. 2 let. c LOAP, l’institution de la disjonction des causes est néanmoins admise en pratique (v. arrêts du Tribunal pénal fédéral RR.2017.100 du 10 août 2017; RR.2010.173-174 du</w:t>
      </w:r>
    </w:p>
    <w:p>
      <w:r>
        <w:rPr>
          <w:b/>
        </w:rPr>
        <w:t>E. 26</w:t>
      </w:r>
    </w:p>
    <w:p>
      <w:r>
        <w:t>août 2010 consid. 5; RR.2008.190 du 26 février 2009 consid. 1; RR.2008.216+RR.2008.225-230 du 20 novembre 2008 consid. 1.2; MOSER/ BEUSCH/KNEUBÜHLER, Prozessieren vor dem Bundesverwaltungsgericht, 2e éd. 2013, § 3.17, p. 144 s.);  dès lors qu’en l’espèce l’irrecevabilité, faute de transmission des documents nécessaires au recours, prononcée supra ne concerne que la seule société</w:t>
      </w:r>
    </w:p>
    <w:p>
      <w:r>
        <w:t>- 5 -</w:t>
      </w:r>
    </w:p>
    <w:p>
      <w:r>
        <w:t>recourante et non C., lequel a interjeté conjointement le recours du 11 mai 2018, il sied de disjoindre les causes et d’attribuer le numéro de dossier RR.2018.155 à l’affaire concernant A. SA et le numéro de dossier RR.2018.156 à celle concernant C., qui suit son cours;  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  au vu de ce qui précède, il incombe à la société recourante de supporter les frais de la présente décision, lesquels sont fixés à CHF 2'000.-- (art. 73 al. 2 LOAP et art. 8 al. 3 du règlement du 31 août 2010 du Tribunal pénal fédéral sur les frais, émoluments, dépens et indemnités de la procédure pénale fédérale [RFPPF; RS 173.713.162]; art. 63 al. 5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