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RR.2018.151 vom 29. Mai 2018</w:t>
      </w:r>
    </w:p>
    <w:p>
      <w:r>
        <w:t>Bundesstrafgericht, 2018-05-29, DE</w:t>
      </w:r>
    </w:p>
    <w:p>
      <w:r>
        <w:rPr>
          <w:b/>
        </w:rPr>
        <w:t xml:space="preserve">Quelle: </w:t>
      </w:r>
      <w:r>
        <w:t>https://mcp.opencaselaw.ch/entscheid/bstger_RR.2018.151</w:t>
      </w:r>
    </w:p>
    <w:p>
      <w:r>
        <w:t>FR: TPF RR.2018.151 du 29 mai 2018</w:t>
      </w:r>
    </w:p>
    <w:p>
      <w:r>
        <w:t>IT: TPF RR.2018.151 del 29 maggio 2018</w:t>
      </w:r>
    </w:p>
    <w:p>
      <w:pPr>
        <w:pStyle w:val="Heading2"/>
      </w:pPr>
      <w:r>
        <w:t>Regeste</w:t>
      </w:r>
    </w:p>
    <w:p>
      <w:r>
        <w:t>Überstellung an Österreich (Art. 3 Zusatzprotokoll zum Übereinkommen über die Überstellung verurteilter Personen). Unentgeltliche Rechtspflege (Art. 65 VwVG).</w:t>
      </w:r>
    </w:p>
    <w:p>
      <w:pPr>
        <w:pStyle w:val="Heading2"/>
      </w:pPr>
      <w:r>
        <w:t>Erwägungen</w:t>
      </w:r>
    </w:p>
    <w:p>
      <w:r>
        <w:rPr>
          <w:b/>
        </w:rPr>
        <w:t>E. 1.1</w:t>
      </w:r>
    </w:p>
    <w:p>
      <w:r>
        <w:t>Für die Überstellung verurteilter Personen zwischen der Schweiz und Öster- reich sind in erster Linie das Übereinkommen vom 21. März 1983 über die Überstellung verurteilter Personen (nachfolgend "Überstellungsübereinkom- men"; SR 0.343), dem beide Staaten beigetreten sind, sowie das Zusatzpro- tokoll vom 18. Dezember 1997 zum Überstellungsübereinkommen (nachfol- gend "Zusatzprotokoll"; SR 0.343.1) massgebend.</w:t>
      </w:r>
    </w:p>
    <w:p>
      <w:r>
        <w:rPr>
          <w:b/>
        </w:rPr>
        <w:t>E. 1.2</w:t>
      </w:r>
    </w:p>
    <w:p>
      <w:r>
        <w:t>Soweit das Staatsvertragsrecht bestimmte Fragen nicht abschliessend re- gelt, gelangt das Landesrecht zur Anwendung, namentlich das Bundesge- setz vom 20. März 1981 über internationale Rechtshilfe in Strafsachen (IRSG; SR 351.1) und die Verordnung vom 24. Februar 1982 über internati- onale Rechtshilfe in Strafsachen (IRSV; SR 351.11). Das innerstaatliche Recht gelangt nach dem Günstigkeitsprinzip auch dann zur Anwendung, wenn dieses geringere Anforderungen an die Rechtshilfe stellt (BGE 142 IV 250 E. 3; 140 IV 123 E. 2; 137 IV 33 E. 2.2.2). Vorbehalten bleibt die Wah- rung der Menschenrechte (BGE 135 IV 212 E. 2.3; 123 II 595 E. 7c; TPF 2016 65 E. 1.2; TPF 2008 24 E. 1.1).</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Beim angefochtenen Entscheid handelt es sich um ein schweizerisches Er- suchen um Übernahme der Vollstreckung eines Strafentscheides gemäss Art. 101 Abs. 2 IRSG, gegen welchen innert 30 Tagen ab der schriftlichen Mitteilung bei der Beschwerdekammer des Bundesstrafgerichts Beschwerde geführt werden kann (Art. 25 Abs. 2bis IRSG i.V.m. Art. 80k IRSG; Art. 37 Abs. 2 lit. a Ziff. 1 StBOG).</w:t>
      </w:r>
    </w:p>
    <w:p>
      <w:r>
        <w:t>- 5 -</w:t>
      </w:r>
    </w:p>
    <w:p>
      <w:r>
        <w:rPr>
          <w:b/>
        </w:rPr>
        <w:t>E. 2.2</w:t>
      </w:r>
    </w:p>
    <w:p>
      <w:r>
        <w:t>Der Überstellungentscheid vom 5. April 2018 wurde mit Beschwerde, datiert mit 27. April 2018, Poststempel vom 2. Mai 2018, fristgerecht angefochten. Die übrigen Eintretensvoraussetzungen geben keinen Anlass zu Bemerkun- gen. Auf die Beschwerde ist einzutreten.</w:t>
      </w:r>
    </w:p>
    <w:p>
      <w:r>
        <w:rPr>
          <w:b/>
        </w:rPr>
        <w:t>E. 3.1</w:t>
      </w:r>
    </w:p>
    <w:p>
      <w:r>
        <w:t>Gemäss Zusatzprotokoll ist eine Überstellung verurteilter Personen an den Heimatstaat in zwei bestimmten Fällen auch ohne deren Einverständnis möglich. Dies gilt einerseits bei Personen, die in ihren Heimatstaat fliehen und sich so der Vollstreckung der Sanktion im Urteilsstaat entziehen (Art. 2 Zusatzprotokoll) und andererseits bei verurteilten Personen, wenn diese den Urteilsstaat nach der Verbüssung der Sanktion ohnehin verlassen müssen (z.B. aufgrund einer fremdenpolizeilichen Weg- oder Ausweisung; vgl. Art. 3 Ziff. 1 und 2 Zusatzprotokoll). Eine verurteilte Person kann in diesen Fällen ohne ihr Einverständnis überstellt werden, wenn folgende Voraussetzungen erfüllt sind: die verurteilte Person ist Staatsangehörige des Vollstreckungs- staates; es liegt ein rechtskräftiges Urteil vor; zum Zeitpunkt des Eingangs des Ersuchens um Überstellung sind noch mindestens sechs Monate der gegen die verurteilte Person verhängten Sanktion zu vollziehen oder die Sanktion ist von unbestimmter Dauer; die Handlung (bzw. Unterlassung) ist in beiden Staaten strafbar; der Urteils- und der Vollstreckungsstaat haben sich auf die Überstellung geeinigt (Art. 3 Ziff. 1 Überstellungsübereinkom- men; TPF 2009 53 E. 3).</w:t>
      </w:r>
    </w:p>
    <w:p>
      <w:r>
        <w:rPr>
          <w:b/>
        </w:rPr>
        <w:t>E. 3.2</w:t>
      </w:r>
    </w:p>
    <w:p>
      <w:r>
        <w:t>Diese Voraussetzungen sind – bis auf die definitive Einigung des Urteils- und des Vollstreckungsstaats – vorliegend erfüllt, wie der Beschwerdeführer selbst einräumt (act. 1 S. 3).</w:t>
      </w:r>
    </w:p>
    <w:p>
      <w:r>
        <w:rPr>
          <w:b/>
        </w:rPr>
        <w:t>E. 4.1</w:t>
      </w:r>
    </w:p>
    <w:p>
      <w:r>
        <w:t>Dagegen macht der Beschwerdeführer im Wesentlichen geltend, im Falle der Überstellung würden vorliegend elementare Grundrechte des Strafge- fangenen verletzt. Der grundrechtliche Anspruch jedes Verurteilten auf an- gemessene soziale Kontakte im Strafvollzug müsse gewahrt werden. Die so- zialen Kontakte dienten dem Strafvollzug und seien im Hinblick auf die Re- sozialisierung wichtig. Seine Überstellung nach Österreich erschwere diese Ziele erheblich, die sozialen Kontakte gar würden faktisch verhindert. Als einzige Bezugsperson verbleibe ihm (ausser dem Rechtsvertreter) seine Tochter, die in der Umgebung von St. Gallen lebe. Von ihr sei er in den ver- gangenen Jahren regelmässig besucht worden. Die gemachten Fortschritte</w:t>
      </w:r>
    </w:p>
    <w:p>
      <w:r>
        <w:t>- 6 -</w:t>
      </w:r>
    </w:p>
    <w:p>
      <w:r>
        <w:t>im Strafvollzug im Hinblick auf die Resozialisierung würden bei einer Über- stellung vernichtet, zumindest in Frage gestellt (act. 1 S. 2 ff.).</w:t>
      </w:r>
    </w:p>
    <w:p>
      <w:r>
        <w:rPr>
          <w:b/>
        </w:rPr>
        <w:t>E. 4.2</w:t>
      </w:r>
    </w:p>
    <w:p>
      <w:r>
        <w:t>Die Schweiz sieht bei begründeter Geltendmachung von Menschenrechts- verletzungen von der Stellung eines Ersuchens um Übertragung der Straf- vollstreckung insbesondere ab, wenn eine Verletzung von Art. 3 EMRK droht. Auch andere grundrechtliche Garantien (Art. 5 Abs. 4 oder Art. 8 EMRK) können einen Verzicht auf Stellung eines Ersuchens nahe legen (vgl. Botschaft vom 1. Mai 2002 betreffend das Zusatzprotokoll zum Übereinkom- men des Europarats über die Überstellung verurteilter Personen sowie eine Änderung des Rechtshilfegesetzes, BBl 2002 S. 4340 ff., 4349 f.). Die in den Vollstreckungsstaat zu überstellende Person muss dabei glaubhaft machen, dass objektiv und ernsthaft eine schwerwiegende Verletzung der Menschen- rechte im ersuchenden Staat zu befürchten ist, die geeignet ist, die zu über- stellende Person konkret zu betreffen (vgl. BGE 130 II 217 E. 8.1; 129 II 268 E. 6.1; zum Ganzen Entscheide des Bundesstrafgerichts RR.2017.323 vom 17. Januar 2018 E. 5.2; RR.2016.125 vom 6. September 2016 E. 4.5; RR.2014.297 vom 21. April 2015 E. 6.2).</w:t>
      </w:r>
    </w:p>
    <w:p>
      <w:r>
        <w:rPr>
          <w:b/>
        </w:rPr>
        <w:t>E. 4.3</w:t>
      </w:r>
    </w:p>
    <w:p>
      <w:r>
        <w:t>Der Beschwerdeführer macht nicht glaubhaft, dass er objektiv und ernsthaft eine schwerwiegende Verletzung der Menschenrechte in Österreich zu be- fürchten habe. Insbesondere führt der blosse Umstand, dass ein Gefangener (weit) von seinen nächsten Angehörigen entfernt in Haft gehalten wird, so dass Besuche erschwert werden, zu keinem grundrechtswidrigen Eingriff in das Privat- und Familienleben (Urteil des Bundesgerichts 1A.199/2006 vom 2. November 2006 E. 3.1 m.w.H.; Entscheid des Bundesstrafgerichts RR.2010.219 vom 24. Februar 2011 E. 6.2).</w:t>
      </w:r>
    </w:p>
    <w:p>
      <w:r>
        <w:rPr>
          <w:b/>
        </w:rPr>
        <w:t>E. 4.4</w:t>
      </w:r>
    </w:p>
    <w:p>
      <w:r>
        <w:t>Die Beschwerde erweist sich nach dem Gesagten als unbegründet. Sie ist abzuweisen.</w:t>
      </w:r>
    </w:p>
    <w:p>
      <w:r>
        <w:rPr>
          <w:b/>
        </w:rPr>
        <w:t>E. 5.1</w:t>
      </w:r>
    </w:p>
    <w:p>
      <w:r>
        <w:t>Der Beschwerdeführer ersucht um unentgeltliche Rechtspflege (RP.2018.25, act. 1).</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w:t>
      </w:r>
    </w:p>
    <w:p>
      <w:r>
        <w:t>- 7 -</w:t>
      </w:r>
    </w:p>
    <w:p>
      <w:r>
        <w:t>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 139 III 475 E. 2.2; 139 III 396 E. 1.2; 138 III 217 E. 2.2.4).</w:t>
      </w:r>
    </w:p>
    <w:p>
      <w:r>
        <w:rPr>
          <w:b/>
        </w:rPr>
        <w:t>E. 5.3</w:t>
      </w:r>
    </w:p>
    <w:p>
      <w:r>
        <w:t>Wie oben dargelegt bestehen an der Rechtmässigkeit der Überstellung keine Zweifel. Demzufolge ist das Begehren des Beschwerdeführers als aussichts- los im Sinne von Art. 65 Abs. 1 VwVG zu bezeichnen. Sein Gesuch um un- entgeltliche Rechtspflege ist demnach bereits aus diesem Grund und ohne Überprüfung seiner finanziellen Verhältnisse abzuweisen. Bei der Festset- zung der Spruchgebühr kann gemäss Art. 63 Abs. 4bis VwVG der womöglich schwierigen finanziellen Situation des Beschwerdeführers Rechnung getra- gen werden.</w:t>
      </w:r>
    </w:p>
    <w:p>
      <w:r>
        <w:rPr>
          <w:b/>
        </w:rPr>
        <w:t>E. 6</w:t>
      </w:r>
    </w:p>
    <w:p>
      <w:r>
        <w:t>Bei diesem Ausgang des Verfahrens sind die Gerichtskosten dem Be- schwerdeführer aufzuerlegen (Art. 63 Abs. 1 VwVG). Die Gerichtsgebühr ist auf Fr. 1'000.– festzusetzen (Art. 63 Abs. 5 VwVG i.V.m. Art. 73 StBOG so- wie Art. 5 und Art. 8 Abs. 3 lit. a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