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RR.2018.137 vom 21. Juni 2018</w:t>
      </w:r>
    </w:p>
    <w:p>
      <w:r>
        <w:t>Bundesstrafgericht, 2018-06-21, DE</w:t>
      </w:r>
    </w:p>
    <w:p>
      <w:r>
        <w:rPr>
          <w:b/>
        </w:rPr>
        <w:t xml:space="preserve">Quelle: </w:t>
      </w:r>
      <w:r>
        <w:t>https://mcp.opencaselaw.ch/entscheid/bstger_RR.2018.137</w:t>
      </w:r>
    </w:p>
    <w:p>
      <w:r>
        <w:t>FR: TPF RR.2018.137 du 21 juin 2018</w:t>
      </w:r>
    </w:p>
    <w:p>
      <w:r>
        <w:t>IT: TPF RR.2018.137 del 21 giugno 2018</w:t>
      </w:r>
    </w:p>
    <w:p>
      <w:pPr>
        <w:pStyle w:val="Heading2"/>
      </w:pPr>
      <w:r>
        <w:t>Regeste</w:t>
      </w:r>
    </w:p>
    <w:p>
      <w:r>
        <w:t>Internationale Rechtshilfe an Kroatien. Herausgabe von Beweismitteln (Art. 74 IRSG). Dauer der Beschlagnahme (Art. 33a IRSV).</w:t>
      </w:r>
    </w:p>
    <w:p>
      <w:pPr>
        <w:pStyle w:val="Heading2"/>
      </w:pPr>
      <w:r>
        <w:t>Erwägungen</w:t>
      </w:r>
    </w:p>
    <w:p>
      <w:r>
        <w:rPr>
          <w:b/>
        </w:rPr>
        <w:t>E. 1.1</w:t>
      </w:r>
    </w:p>
    <w:p>
      <w:r>
        <w:t>Für die Rechtshilfe zwischen Kroatien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Ebenso zu Anwendung kommt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t>- 4 -</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Inhaberin des von der Rechtshilfe betroffenen Kontos ist die Beschwer- deführerin zur Beschwerde legitimiert. Die Schlussverfügung wurde der Be- schwerdeführerin am 26. März 2018 zugestellt (Verfahrensakten Urk. 20/1). Die 30-tägige Beschwerdefrist ist damit eingehalten, sodass auf die Be- schwerde vom 25. April 2018 einzutreten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macht in einem ersten Punkt geltend, die Beschwer- degegnerin verstosse gegen das Prinzip der Wahrheitsfindung und des Ge- bots von Treu und Glauben, wenn sie dem ersuchenden Staat Dokumente herausgebe, von denen sie wisse, dass sie nicht mehr der Wahrheit entsprä- chen, sondern vielmehr geeignet seien, einen irreführenden Sachverhalt zu etablieren (act. 1 S. 6 ff.).</w:t>
      </w:r>
    </w:p>
    <w:p>
      <w:r>
        <w:t>- 5 -</w:t>
      </w:r>
    </w:p>
    <w:p>
      <w:r>
        <w:rPr>
          <w:b/>
        </w:rPr>
        <w:t>E. 4.2</w:t>
      </w:r>
    </w:p>
    <w:p>
      <w:r>
        <w:t>Die Beschwerdeführerin verkennt, dass der Rechtshilferichter nicht als Straf- behörde fungiert und daher nicht verpflichtet ist, die „materielle Wahrheit“ im ausländischen Strafverfahren zu ermitteln. Dies ist die Aufgabe der Strafbe- hörden des ersuchenden Staates. Die schweizerischen Behörden sind je- doch im Rahmen des Rechtshilfeverfahrens verpflichtet, dem ausländischen Staat bei der Wahrheitsfindung und Beschaffung von Beweismitteln behilflich zu sein. Daraus folgt, dass der ersuchte Staat all diejenigen Aktenstücke zu ermitteln hat, die sich auf den im Ersuchen enthaltenen Verdacht beziehen und zu dessen Klärung beitragen können. Erforderlich ist, dass ein ausrei- chender sachlicher Konnex zwischen dem untersuchten Sachverhalt und den fraglichen Dokumenten erstellt ist (vgl. Urteile des Bundesgerichts 1A.189/2006 vom 7. Februar 2007 E. 3.1; 1A.72/2006 vom 13. Juli 2006 E. 3.1; BGE 129 II 462 E. 5.3). Die internationale Zusammenarbeit kann nur daher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w:t>
      </w:r>
    </w:p>
    <w:p>
      <w:r>
        <w:t>- 6 -</w:t>
      </w:r>
    </w:p>
    <w:p>
      <w:r>
        <w:t>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4.3</w:t>
      </w:r>
    </w:p>
    <w:p>
      <w:r>
        <w:t>Gemäss Sachverhalt des Rechtshilfeersuchens vom 3. November 2017 be- steht zusammengefasst der Verdacht, dass der Vorstandsvorsitzende D. und der Vertreter E. der Handelsgesellschaft F. d.d. im Zeitraum Novem- ber/Dezember 2013 in Absprache mit B. – die zum damaligen Zeitpunkt Vorstandsmitglied der F. d.d. und für deren Finanzen verantwortlich gewe- sen sei – zum Nachteil der F. d.d. vereinbart hätten, dass die F. d.d. über die Handelsgesellschaft G. d.o.o. zugunsten der Beschwerdeführerin auf deren Konto 1 bei der Bank C., EUR 1.25 überweise. Dabei sei die „wirkliche Eigentümerin“ der Beschwerdeführerin B.. Untersuchungen hätten ergeben, dass für diese Überweisung kein Grund ersichtlich sei, insbesondere bestün- den keine Geschäftsunterlagen, aus denen hervorginge, dass die Beschwer- deführerin für den Geldbetrag eine Gegenleistung erbracht hätte; vielmehr sei die Überweisung widerrechtlich bzw. zur Erlangung eines rechtswidrigen Vermögensvorteils erfolgt.</w:t>
      </w:r>
    </w:p>
    <w:p>
      <w:r>
        <w:rPr>
          <w:b/>
        </w:rPr>
        <w:t>E. 4.4</w:t>
      </w:r>
    </w:p>
    <w:p>
      <w:r>
        <w:t>Die zu übermittelnden Dokumente beziehen sich genau auf den im Rechts- hilfeersuchen dargelegten Sachverhalt – der sich prima facie unter den Tat- bestand der ungetreuen Geschäftsbesorgung im Sinne von Art. 158 StGB subsumieren – lässt, weshalb sie für das ausländische Strafverfahren als potentiell erheblich einzustufen sind. Die Beschwerdegegnerin hat denn auch bereits im Rahmen der angefochtenen Schlussverfügung mit Hinweis auf in den Bankunterlagen selber enthaltene Buchungsvorgänge überzeu- gend dargelegt, es bestehe der Verdacht, dass die verschiedenen Ge- schäftsbeziehung einen objektiven Zusammenhang mit den zu untersuchen- den Straftaten hätten (vgl. Schlussverfügung 5.5). Darauf kann ohne Weite- res verwiesen werden. Dementsprechend besteht ein ausreichender perso- neller und sachlicher Zusammenhang zwischen den herauszugebenden Bankunterlagen und den in Kroatien untersuchten Straftaten. es ist nicht aus- zuschliessen, dass es sich bei dessen Kontobewegungen um Überweisun- gen handelt, die im Zusammenhang mit dem zu untersuchenden Sachver- halt stehen. Damit ist es vorliegend gerechtfertigt, sämtliche in der Schluss- verfügung vom 7. November 2017 aufgeführten Bankunterlagen herauszu- geben. Soweit die Beschwerdeführerin geltend macht, die Bankendokumen- tation sei veraltet, weil die Übertragung der Aktien der Beschwerdeführerin an H. nicht aktualisiert worden sei, so dass irreführend B. weiter als wirt-</w:t>
      </w:r>
    </w:p>
    <w:p>
      <w:r>
        <w:t>- 7 -</w:t>
      </w:r>
    </w:p>
    <w:p>
      <w:r>
        <w:t>schaftlich Berechtigte der Beschwerdeführerin erscheine (act. 1 S. 6), ist die- ser Einwand nicht vom Rechtshilferichter zu prüfen. Diese Frage wird Ge- genstand im kroatischen Strafverfahren sein. Im Übrigen handelt es sich hierbei um eine im Rechtshilfeverfahren ohnehin unzulässige Gegendarstel- lung (vgl. BGE 132 II 81 E. 2.1).</w:t>
      </w:r>
    </w:p>
    <w:p>
      <w:r>
        <w:t>Die Rüge erweist sich damit als unbegründet.</w:t>
      </w:r>
    </w:p>
    <w:p>
      <w:r>
        <w:rPr>
          <w:b/>
        </w:rPr>
        <w:t>E. 5.1</w:t>
      </w:r>
    </w:p>
    <w:p>
      <w:r>
        <w:t>Die Beschwerdeführerin macht schliesslich geltend, dass Verfahren in Kro- atien weise mangelnde Rechtsstaatlichkeit auf. Ziel des Verfahrens sei in erster Line die Bereicherung derjenigen Personen, welche die F. d.d. im Restrukturierungsprozess kontrollieren würden. Zu diesem Zweck sei eigens durch das kroatische Parlament ein Gesetz erlassen worden, welches be- stimmten regierungsnahen Personen die Kontrolle über F. d.d. im Rahmen eines vermeintlichen Restrukturierungsprozesses erlaube (act. 1 S. 8).</w:t>
      </w:r>
    </w:p>
    <w:p>
      <w:r>
        <w:rPr>
          <w:b/>
        </w:rPr>
        <w:t>E. 5.2</w:t>
      </w:r>
    </w:p>
    <w:p>
      <w:r>
        <w:t>Soweit sich die Beschwerdeführerin damit sinngemäss auf Art. 2 IRSG be- ruft, ist Folgendes festzuhalten:</w:t>
      </w:r>
    </w:p>
    <w:p>
      <w:r>
        <w:t>Gemäss Art. 2 lit. a IRSG wird einem Ersuchen in Strafsachen nicht entspro- chen, wenn Gründe für die Annahme bestehen, dass das Verfahren im Aus- land den in der Europäischen Menschenrechtskonvention oder im Internati- onalen Pakt vom 16. Dezember 1966 über bürgerliche und politische Rechte (UNO-Pakt II; SR 0.103.2) festgelegten Verfahrensgrundsätzen nicht ent- spricht. Einem Rechtshilfeersuchen wird ebenfalls nicht entsprochen, wenn Gründe zur Annahme bestehen, dass das Verfahren im Ausland andere schwere Mängel aufweist (Art. 2 lit. d IRSG). Dabei ist es in erster Linie Auf- gabe der Rechtsmittelinstanzen des ersuchenden Staates, solche Verfah- rensfehler zu korrigieren und sicherzustellen, dass dem Beschuldigten trotz- dem ein faires Strafverfahren garantiert wird (unveröffentlichter Entscheid des Bundesgerichts i.S. A. vom 19. Februar 1998 E. 6b).</w:t>
      </w:r>
    </w:p>
    <w:p>
      <w:r>
        <w:t>Gemäss ständiger Rechtsprechung können sich grundsätzlich nur natürliche Personen auf Art. 2 IRSG berufen, deren Auslieferung an einen anderen Staat oder deren Überweisung an einen internationalen Gerichtshof bean- 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nicht auf</w:t>
      </w:r>
    </w:p>
    <w:p>
      <w:r>
        <w:t>- 8 -</w:t>
      </w:r>
    </w:p>
    <w:p>
      <w:r>
        <w:t>Art. 2 IRSG berufen, es sei denn, sie selbst seien im ausländischen Verfah- ren beschuldigt. Ihre Rügemöglichkeit beschränkt sich dabei naturgemäss auf die Verletzung des Rechts auf ein faires Verfahren im Sinne von Art. 6 EMRK (TPF 2016 138 E. 4.2 und 4.3; vgl. zuletzt u.a. Entscheid des Bun- desstrafgerichts RR.2017.118-121, 122 vom 6. Februar 2018 E. 6.2).</w:t>
      </w:r>
    </w:p>
    <w:p>
      <w:r>
        <w:rPr>
          <w:b/>
        </w:rPr>
        <w:t>E. 5.3</w:t>
      </w:r>
    </w:p>
    <w:p>
      <w:r>
        <w:t>Bei der Beschwerdeführerin handelt es sich um eine juristische Person, wes- halb sie sich grundsätzlich nicht auf Art. 2 IRSG berufen kann. Zudem ist nicht erkennbar, inwiefern sie, die ihren Sitz in der Schweiz hat und im ersu- chenden Staat nicht beschuldigt ist, in eigenen schutzwürdigen Interessen betroffen sein soll (vgl. Urteil des Bundesgerichts 1C_376/2016 vom 5. Ok- tober 2016 E. 2.2). Auf ihre Rüge ist damit nicht einzutreten.</w:t>
      </w:r>
    </w:p>
    <w:p>
      <w:r>
        <w:rPr>
          <w:b/>
        </w:rPr>
        <w:t>E. 6</w:t>
      </w:r>
    </w:p>
    <w:p>
      <w:r>
        <w:t>Weitere Rechtshilfehindernisse werden weder genannt, noch ist das Vorlie- gen solcher ersichtlich. Insbesondere erweist sich auch die seit dem 8. No- vember 2017 angeordnete Kontosperre im Umfang von EUR 1.25 Mio. so- wohl in zeitlicher wie auch in quantitativer Hinsicht als verhältnismässig (vgl. Art. 33a IRSV).</w:t>
      </w:r>
    </w:p>
    <w:p>
      <w:r>
        <w:t>Die Beschwerde ist daher vollumfänglich abzuweisen, soweit darauf einzu- treten ist.</w:t>
      </w:r>
    </w:p>
    <w:p>
      <w:r>
        <w:rPr>
          <w:b/>
        </w:rPr>
        <w:t>E. 7</w:t>
      </w:r>
    </w:p>
    <w:p>
      <w:r>
        <w:t>Bei diesem Ausgang des Verfahrens sind die Gerichtskosten der Beschwer- deführerin aufzuerlegen (Art. 63 Abs. 1 VwVG). Die Gerichtsgebühr ist auf Fr. 6'000.-- festzusetzen (Art. 63 Abs. 5 VwVG i.V.m. Art. 73 StBOG sowie Art. 5 und 8 Abs. 3 lit. a BStKR), unter Anrechnung des geleisteten Kosten- 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