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RR.2018.136 vom 11. Oktober 2018</w:t>
      </w:r>
    </w:p>
    <w:p>
      <w:r>
        <w:t>Bundesstrafgericht, 2018-10-11, DE</w:t>
      </w:r>
    </w:p>
    <w:p>
      <w:r>
        <w:rPr>
          <w:b/>
        </w:rPr>
        <w:t xml:space="preserve">Quelle: </w:t>
      </w:r>
      <w:r>
        <w:t>https://mcp.opencaselaw.ch/entscheid/bstger_RR.2018.136</w:t>
      </w:r>
    </w:p>
    <w:p>
      <w:r>
        <w:t>FR: TPF RR.2018.136 du 11 octobre 2018</w:t>
      </w:r>
    </w:p>
    <w:p>
      <w:r>
        <w:t>IT: TPF RR.2018.136 del 11 ottobre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 ber 2001 zum Europäischen Übereinkommen über die Rechtshilfe in Straf- sachen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w:t>
      </w:r>
    </w:p>
    <w:p>
      <w:r>
        <w:t>- 4 -</w:t>
      </w:r>
    </w:p>
    <w:p>
      <w:r>
        <w:t>14. Juni 1985 (Schengener Durchführungsübereinkommen, SDÜ; ABl. L 239 vom 22. September 2000, S. 19–62) zur Anwendung, wobei die zwischen den Vertragsparteien geltenden weitergehenden Bestimmungen aufgrund bilateraler Abkommen unberührt bleiben (Art. 48 Abs. 2 SDÜ; Art. 26 Absätze</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Art. 39 Abs. 2 lit. b i.V.m. Art. 37 Abs. 2 lit. a des Bundesgesetzes vom 19. März 2010 über die Organisation der Strafbehörden des Bundes [Strafbehördenorganisations- gesetz, StBOG; SR 173.71]; BGE 139 II 404 E. 6/8.2; ZIMMERMANN, a.a.O., N. 273) anwendbar.</w:t>
      </w:r>
    </w:p>
    <w:p>
      <w:r>
        <w:rPr>
          <w:b/>
        </w:rPr>
        <w:t>E. 2</w:t>
      </w:r>
    </w:p>
    <w:p>
      <w:r>
        <w:t>und 3 EUeR; ZIMMERMANN, La coopération judiciaire internationale en ma- tière pénale, 4. Aufl. 2014, N. 18-21, 28-40, 77, 109).</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Bei dem hier angefochtenen Entscheid handelt es sich um eine Schlussver- fügung der ausführenden kantonalen Behörde in internationalen Rechtshil- feangelegenheiten und die Beschwerde wurde innert Frist erhoben.</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w:t>
      </w:r>
    </w:p>
    <w:p>
      <w:r>
        <w:t>- 5 -</w:t>
      </w:r>
    </w:p>
    <w:p>
      <w:r>
        <w:t>anfechten, wenn eine Rechtshilfemassnahme sie persönlich und direkt be- trifft und sie ein schutzwürdiges Interesse an deren Aufhebung oder Ände- rung haben (Art. 21 Abs. 3 IRSG). Als persönlich und direkt betroffen wird im Falle der Herausgabe von Kontoinformationen an den ersuchenden Staat der jeweilige Kontoinhaber angesehen (Art. 9a lit. a IRSV).</w:t>
      </w:r>
    </w:p>
    <w:p>
      <w:r>
        <w:t>Die Beschwerdeführerin ficht die Herausgabe der Bankunterlagen betreffend das auf sie lautende Konto an. Diesbezüglich ist sie gemäss Art. 80h lit. b IRSG i.V.m. Art. 9a lit. a IRSV beschwerdelegitimiert. Auf die im Übrigen frist- und formgerechte Beschwerde ist nach dem Gesagten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1C_143/2016 vom 2. Mai 2016 E. 2 mit Hinwei- sen).</w:t>
      </w:r>
    </w:p>
    <w:p>
      <w:r>
        <w:rPr>
          <w:b/>
        </w:rPr>
        <w:t>E. 4.1</w:t>
      </w:r>
    </w:p>
    <w:p>
      <w:r>
        <w:t>Die Beschwerdeführerin kritisiert zunächst die Begründung der Schlussver- fügung. Nach ihrer Darstellung soll die Beschwerdegegnerin die Herausgabe der Bankunterlagen verfügt haben, weil die Beschwerdeführerin keine Stel- lungnahme und keine Dokumente bezeichnet habe, welche nicht der ersu- chenden Behörde zu übermitteln wären (act.1 S. 4).</w:t>
      </w:r>
    </w:p>
    <w:p>
      <w:r>
        <w:t>Sie wendet in einem nächsten Punkt ein, dass kein Zusammenhang zwi- schen ihrem Konto und den Beschuldigten B. und C. sowie den ihnen vorge- worfenen Straftaten in Deutschland gegeben sei. Weder sie noch ihre Kon- ten seien in die Angelegenheit verwickelt. Sie sei seit 2002 von C. geschie- den. Entgegen den Ausführungen der Beschwerdegegnerin handle es sich hier nicht um auffällige Überweisungen. Insbesondere sollte bekannt sein,</w:t>
      </w:r>
    </w:p>
    <w:p>
      <w:r>
        <w:t>- 6 -</w:t>
      </w:r>
    </w:p>
    <w:p>
      <w:r>
        <w:t>dass alle Zahlungen aus Russland seitens der russischen Behörden geprüft und auch von diesen genehmigt werden müssen. Auch habe die Beschwer- deführerin die überwiesenen Vermögenswerte nicht weiterüberwiesen (act. 1 S. 6). Die Beschwerdegegnerin habe sodann gegen das Übermass- verbot verstossen (act. 1 S. 5). Die zu übermittelnden Kontounterlagen wür- den auch nicht den untersuchten Zeitraum betreffen (act. 1 S. 5).</w:t>
      </w:r>
    </w:p>
    <w:p>
      <w:r>
        <w:rPr>
          <w:b/>
        </w:rPr>
        <w:t>E. 4.2</w:t>
      </w:r>
    </w:p>
    <w:p>
      <w:r>
        <w:t>Rechtshilfemassnahmen haben generell dem Prinzip der Verhältnismässig- keit zu genügen (vgl. Entscheid des Bundesstrafgerichts RR.2013.298 vom</w:t>
      </w:r>
    </w:p>
    <w:p>
      <w:r>
        <w:rPr>
          <w:b/>
        </w:rPr>
        <w:t>E. 4.3</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 Mangelnde Kenntnis der Verfahrenssprache (hier zugleich noch Amtssprache am Wohnort) vermag den von der Rechtshilfemass- nahme Betroffenen nicht von seiner Obliegenheit zu entlasten. Dieser hat die Obliegenheit, schon im Stadium der Ausführung des Ersuchens (bzw. der erstinstanzlichen Rechtshilfeverfügung) an der sachgerechten Ausschei- dung beschlagnahmter Dokumente nötigenfalls mitzuwirken, allfällige Ein- wände gegen die Weiterleitung einzelner Aktenstücke (bzw. Passagen dar- aus), welche für die Strafuntersuchung offensichtlich entbehrlich sind, im Rahmen seiner Parteirechte gegenüber der ausführenden Behörde rechtzei- tig und konkret darzulegen und diese Einwände auch ausreichend zu be- gründen (BGE 122 II 367 E. 2c S. 371 f.). Dies gilt besonders bei einer kom- plexen Untersuchung mit zahlreichen Akten. Kommt der Beschwerdeführer dieser Obliegenheit nicht nach, hat er im Beschwerdeverfahren sein Rüge- recht verwirkt. Die Beschwerdeinstanz forscht nicht von sich aus nach Ak- tenstücken, die im ausländischen Verfahren (mit Sicherheit) nicht erheblich sein könnten (BGE 130 II 14 E. 4.3 S. 16; 126 II 258 E. 9b/aa S. 262; Urteile</w:t>
      </w:r>
    </w:p>
    <w:p>
      <w:r>
        <w:t>- 8 -</w:t>
      </w:r>
    </w:p>
    <w:p>
      <w:r>
        <w:t>des Bundesgerichts 1A.223/2006 vom 2. April 2007 E. 4.1, sowie 1A.184/2004 vom 22. April 2005 E. 3.1).</w:t>
      </w:r>
    </w:p>
    <w:p>
      <w:r>
        <w:t>In concreto muss die ausführende Behörde nach der bundesgerichtlichen Rechtsprechung dem gemäss Art. 80h lit. b IRSG und Art. 9a lit. b IRSV Berechtigten zur Wahrung des rechtlichen Gehörs vorgängig an den Erlass der Schlussverfügung auf konkrete und wirkungsvolle Weise die Gelegenheit geben, sich zum Rechtshilfeersuchen zu äussern und unter Angabe der Gründe geltend zu machen, welche Unterlagen etwa in Anwendung des Ver- hältnismässigkeitsprinzips nicht herauszugeben sind (vgl. Art. 30 Abs. 1 VwVG; BGE 130 II 14 E. 4.3 S. 16; 126 II 258 E. 9b/aa S. 262; Entscheid des Bundesstrafgerichts RR.2007.24 vom 8. Mai 2007 E. 3.1). Es genügt dabei, wenn dem Berechtigten Gelegenheit gegeben wird, sich schriftlich zur Aussonderung zu äussern. In der Regel setzt sie dem Inhaber hiefür eine Frist an, die kurz sein kann, um in Bezug auf jeden einzelnen Beleg die Ar- gumente zu nennen, die seines Erachtens der Übermittlung entgegen stehen (BGE 130 II 14 E. 4.4).</w:t>
      </w:r>
    </w:p>
    <w:p>
      <w:r>
        <w:rPr>
          <w:b/>
        </w:rPr>
        <w:t>E. 4.4</w:t>
      </w:r>
    </w:p>
    <w:p>
      <w:r>
        <w:t>Soweit die Beschwerdeführerin der Beschwerdegegnerin eine willkürliche Begründung der Verhältnismässigkeit vorwirft, legt sie ihrer Kritik nicht die tatsächliche Argumentation der Beschwerdegegnerin zu Grunde. Diese be- gründete in ihren Erwägungen auf Seite 7 f. der angefochtenen Schlussver- fügung im Einzelnen, weshalb bezüglich der fraglichen Bankunterlagen nicht ausgeschlossen werden könne, dass diese für die von der ersuchenden Be- hörde geführte Strafuntersuchung relevant seien (act. 1.2). Damit bejahte die Beschwerdegegnerin im Grundsatz die potentielle Erheblichkeit der Bankun- terlagen. Den weiteren Erwägungen der Beschwerdegegnerin ist zu entneh- men, dass diese in der Folge zum Schluss kam, dass sämtliche Bankunter- lagen zu übermitteln seien, da die Beschwerdeführerin diesbezüglich zudem keine konkreten Einwände vorbrachte, welche die Beschwerdegegnerin hätte überprüfen und aufgrund welcher sie allenfalls zu einem anderen Er- gebnis hätte kommen können. Was die Beschwerdeführerin demnach der Beschwerdegegnerin vorwirft, trifft in tatsächlicher Hinsicht nicht zu.</w:t>
      </w:r>
    </w:p>
    <w:p>
      <w:r>
        <w:rPr>
          <w:b/>
        </w:rPr>
        <w:t>E. 4.5</w:t>
      </w:r>
    </w:p>
    <w:p>
      <w:r>
        <w:t>Die Beschwerdegegnerin hat mit Schreiben vom 16. November 2017 die Be- schwerdeführerin im Einzelnen über das Rechtshilfeverfahren orientiert. Die Beschwerdeführerin wurde auf ihr Akteneinsichtsrecht hingewiesen und u.a. vorgängig an den Erlass der Schlussverfügung die Gelegenheit gegeben, sich zum Rechtshilfeersuchen zu äussern und unter Angabe der Gründe gel- tend zu machen, welche Unterlagen nicht herauszugeben sind (Rechtshilfe- akten, Hauptordner, Urk. 6/2). In diesem Sinne wurde der Beschwerdefüh- rerin im Rechtshilfeverfahren Gelegenheit zur umfassenden Akteneinsicht</w:t>
      </w:r>
    </w:p>
    <w:p>
      <w:r>
        <w:t>- 9 -</w:t>
      </w:r>
    </w:p>
    <w:p>
      <w:r>
        <w:t>und zur Teilnahme an der Aktenausscheidung gegeben, weshalb keine Ver- letzung des rechtlichen Gehörs vorliegt, soweit die Beschwerdeführerin mit ihren Einwendungen eine solche hätte geltend machen wollen. Die Be- schwerdeführerin ist ihrer vorgenannten Obliegenheit im Rechtshilfeverfah- ren nicht nachgekommen, obwohl ihr rechtliches Gehör im Rechtshilfever- fahren in jeder Hinsicht gewahrt wurde und sie namentlich Gelegenheit hatte, sich zur Aussonderung zu äussern. Demzufolge hat die Beschwerdeführerin im Beschwerdeverfahren ihr Rügerecht verwirkt.</w:t>
      </w:r>
    </w:p>
    <w:p>
      <w:r>
        <w:rPr>
          <w:b/>
        </w:rPr>
        <w:t>E. 4.6</w:t>
      </w:r>
    </w:p>
    <w:p>
      <w:r>
        <w:t>Selbst wenn auf die in der Beschwerde vorgetragenen Einwände der Be- schwerdeführerin eingegangen würde, könnte die Beschwerdeführerin nichts zu ihren Gunsten ableiten. Gemäss dem deutschen Rechtshilfeersu- chen steht C., im deutschen Strafverfahren als Beschuldigter unter Geldwä- schereiverdacht. C. ist am verfahrensgegenständlichen Konto der Be- schwerdeführerin bevollmächtigt. Aufgrunddessen besteht offensichtlich auch ein Untersuchungsinteresse an diesem Konto zur Ermittlung, ob allen- falls Geldmittel möglicherweise strafbarer Herkunft auch darauf verschoben wurden. Der Umstand, dass die Beschwerdeführerin dieses Konto am 13. August 2013 eröffnete, d.h. ein paar Jahre nach den mutmasslichen Vor- taten aus den Jahren 2009/2010 und weniger als ein Jahr nach der im Rechtshilfeersuchen beschriebenen mutmasslichen Geldwäschereihand- lung von C., tut der potentiellen Erheblichkeit dieser Kontounterlagen keinen Abbruch. Ebenso wenig ist relevant, dass die Beschwerdeführerin gemäss eigener Darstellung seit 2002 von C. geschieden sein soll, zumal die Schei- dung sie elf Jahre danach offensichtlich nicht hinderte, ihrem Mann Konto- vollmacht zu erteilen. Die Herausgabe der verfahrensgegenständlichen Bankunterlagen entspricht der Regel, wonach in Konstellationen wie der vor- liegenden, die Behörden des ersuchenden Staates grundsätzlich über alle Transaktionen zu informieren sind, die von Personen getätigt wurden, wel- che in die Angelegenheit verwickelt sind (s.o.). Zu betonen bleibt, dass für das deutsche Strafverfahren nicht nur belastende, sondern auch entlastende Beweismittel von Bedeutung sein können, um einen bestehenden Verdacht allenfalls widerlegen zu können (s.o.). Eine Verletzung des Verhältnismäs- sigkeitsprinzips liegt demnach nicht vor. Die Beschwerde erweist sich dem- nach auch in diesem Punkt als unbegründet.</w:t>
      </w:r>
    </w:p>
    <w:p>
      <w:r>
        <w:t>5. Andere Rechtshilfehindernisse werden nicht geltend gemacht und sind auch nicht ersichtlich. Der Herausgabe der vorgenannten Unterlagen steht somit nichts entgegen. Die Beschwerde erweist sich in allen Punkten als unbe- gründet und ist abzuweisen.</w:t>
      </w:r>
    </w:p>
    <w:p>
      <w:r>
        <w:t>- 10 -</w:t>
      </w:r>
    </w:p>
    <w:p>
      <w:r>
        <w:rPr>
          <w:b/>
        </w:rPr>
        <w:t>E. 6</w:t>
      </w:r>
    </w:p>
    <w:p>
      <w:r>
        <w:t>Bei diesem Ausgang des Verfahrens wird die Beschwerdeführerin kosten- 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Unter Berücksichtigung aller Umstände ist die Gebühr vorliegend auf Fr. 4‘000.-- festzusetzen und der Beschwerde- führerin aufzuerlegen, unter Anrechnung des geleisteten Kostenvorschus- ses in gleicher Höhe (Art. 63 Abs. 4bis lit. b VwVG; Art. 5 und 8 Abs. 3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