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RR.2018.135 vom 8. August 2018</w:t>
      </w:r>
    </w:p>
    <w:p>
      <w:r>
        <w:t>Bundesstrafgericht, 2018-08-08, DE</w:t>
      </w:r>
    </w:p>
    <w:p>
      <w:r>
        <w:rPr>
          <w:b/>
        </w:rPr>
        <w:t xml:space="preserve">Quelle: </w:t>
      </w:r>
      <w:r>
        <w:t>https://mcp.opencaselaw.ch/entscheid/bstger_RR.2018.135</w:t>
      </w:r>
    </w:p>
    <w:p>
      <w:r>
        <w:t>FR: TPF RR.2018.135 du 8 août 2018</w:t>
      </w:r>
    </w:p>
    <w:p>
      <w:r>
        <w:t>IT: TPF RR.2018.135 del 8 agosto 2018</w:t>
      </w:r>
    </w:p>
    <w:p>
      <w:pPr>
        <w:pStyle w:val="Heading2"/>
      </w:pPr>
      <w:r>
        <w:t>Regeste</w:t>
      </w:r>
    </w:p>
    <w:p>
      <w:r>
        <w:t>Internationale Rechtshilfe in Strafsachen an Frankreich. Herausgabe von Beweismitteln (Art. 74 IRSG).</w:t>
      </w:r>
    </w:p>
    <w:p>
      <w:pPr>
        <w:pStyle w:val="Heading2"/>
      </w:pPr>
      <w:r>
        <w:t>Erwägungen</w:t>
      </w:r>
    </w:p>
    <w:p>
      <w:r>
        <w:rPr>
          <w:b/>
        </w:rPr>
        <w:t>E. 1.1</w:t>
      </w:r>
    </w:p>
    <w:p>
      <w:r>
        <w:t>Für die akzessorische Rechtshilfe zwischen der Schweiz und Frankreich sind in erster Linie massgebend die Bestimmungen des Europäischen Über- einkommens vom 20. April 1959 über die Rechtshilfe in Strafsachen (EUeR; SR 0.351.1), der zwischen dem Schweizerischen Bundesrat und der Regie- rung der Französischen Republik abgeschlossene Vertrag vom 28. Okto- ber 1996 zur Ergänzung des EUeR (SR. 0.351.934.92) sowie die Bestim- mungen der Art. 48 ff. des Übereinkommens vom 19. Juni 1990 zur Durch- führung des Übereinkommens von Schengen vom 14. Juni 1985 (Schenge- ner Durchführungsübereinkommen, SDÜ; ABl. L 239 vom 22. Septem- ber 2000, S. 19–62). Ebenso zur Anwendung kommt vorliegend das Über- einkommen vom 8. November 1990 über Geldwäscherei sowie Ermittlung, Beschlagnahme und Einziehung von Erträgen aus Straftaten (Geldwä- 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 rechte (BGE 139 II 65 E. 5.4 letzter Absatz; 135 IV 212 E. 2.3; 123 II 595 E. 7c; ZIMMERMANN, a.a.O., N. 211 ff., 223 ff., 681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w:t>
      </w:r>
    </w:p>
    <w:p>
      <w:r>
        <w:t>- 5 -</w:t>
      </w:r>
    </w:p>
    <w:p>
      <w:r>
        <w:t>Interesse an ihrer Aufhebung oder Änderung hat (Art. 80h lit. b IRSG). Als persönlich und direkt betroffen wird im Falle der Herausgabe von Kontoinfor- mationen an den ersuchenden Staat der jeweilige Kontoinhaber angesehen (Art. 9a lit. a IRSV).</w:t>
      </w:r>
    </w:p>
    <w:p>
      <w:r>
        <w:rPr>
          <w:b/>
        </w:rPr>
        <w:t>E. 2.2</w:t>
      </w:r>
    </w:p>
    <w:p>
      <w:r>
        <w:t>Als Inhaberin des von der Rechtshilfe betroffenen Kontos ist die Beschwer- deführerin zur Beschwerde legitimiert. Die Schlussverfügung vom 23. März 2018 wurde der Beschwerdeführerin am 26. März 2018 zugestellt (act. 1.3), sodass die Beschwerde vom 25. April 2018 fristgerecht erhoben wurde. Auf die Beschwerde ist daher einzutreten.</w:t>
      </w:r>
    </w:p>
    <w:p>
      <w:r>
        <w:rPr>
          <w:b/>
        </w:rPr>
        <w:t>E. 3.1</w:t>
      </w:r>
    </w:p>
    <w:p>
      <w:r>
        <w:t>Die Beschwerdekammer ist nicht an die Begehren der Parteien gebunden (Art. 25 Abs. 6 IRSG). Sie prüft die Rechtshilfevoraussetzungen mit freier Kognition, befasst sich jedoch nur mit Tat- und Rechtsfragen, die Streitge- genstand der Beschwerde bilden (BGE 132 II 81 E. 1.4; 130 II 337 E. 1.4; Urteil des Bundesgerichts 1A.1/2009 vom 20. März 2009 E. 1.6; TPF 2011 97 E. 5).</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 BGE 141 IV 249 E. 1.3.1 m.w.H.).</w:t>
      </w:r>
    </w:p>
    <w:p>
      <w:r>
        <w:rPr>
          <w:b/>
        </w:rPr>
        <w:t>E. 4</w:t>
      </w:r>
    </w:p>
    <w:p>
      <w:r>
        <w:t>Die Beschwerdeführerin beantragt zunächst in prozessualer Hinsicht, der Beschwerde sei aufschiebende Wirkung zu erteilen (act. 1, S. 2). Diese kommt ihr allerdings schon von Gesetzes wegen zu (Art. 80l Abs. 1 IRSG), sodass sich der Antrag ohne Weiteres als gegenstandslos erweist.</w:t>
      </w:r>
    </w:p>
    <w:p>
      <w:r>
        <w:rPr>
          <w:b/>
        </w:rPr>
        <w:t>E. 5.1</w:t>
      </w:r>
    </w:p>
    <w:p>
      <w:r>
        <w:t>Die Beschwerdeführerin macht sodann eine Verletzung des rechtlichen Ge- hörs geltend. Die Schlussverfügung der Bundesanwaltschaft sei nicht aus- reichend begründet und die Sachverhaltsdarstellung sei dürftig, sodass es der Beschwerdeführerin nicht möglich sei, die Verfügung angemessen anzu- fechten (act. 1, S. 7).</w:t>
      </w:r>
    </w:p>
    <w:p>
      <w:r>
        <w:t>- 6 -</w:t>
      </w:r>
    </w:p>
    <w:p>
      <w:r>
        <w:rPr>
          <w:b/>
        </w:rPr>
        <w:t>E. 5.2</w:t>
      </w:r>
    </w:p>
    <w:p>
      <w:r>
        <w:t>Der in Art. 29 Abs. 2 BV verankerte Anspruch auf rechtliches Gehör durch eine angemessene Begründung wird im Bereich der internationalen Rechts- hilfe durch Verweis in Art. 12 Abs. 1 IRSG auf Art. 35 VwVG konkretisiert, welche sowohl in Verfahren vor den Bundesbehörden als auch vor kantona- len Behörden zur Anwendung gelangen (ZIMMERMANN, a.a.O., S. 477, 492 ff.). Das Recht auf eine begründete Verfügung respektive einen begrün- deten Entscheid bedeutet, dass die Begründung den Entscheid für die Partei verständlich machen und ihr erlauben muss, ihn zu akzeptieren oder anzu- fechten (POPP, Grundzüge der internationalen Rechtshilfe in Strafsachen, 2001, S. 320 N. 470). Die Überlegungen, von denen sich die Behörde leiten liess und auf welche sich ihr Entscheid stützt, müssen daher wenigstens kurz genannt werden (vgl. zum Ganzen BGE 126 I 97 E. 2b m.w.H.).</w:t>
      </w:r>
    </w:p>
    <w:p>
      <w:r>
        <w:rPr>
          <w:b/>
        </w:rPr>
        <w:t>E. 5.3</w:t>
      </w:r>
    </w:p>
    <w:p>
      <w:r>
        <w:t>Diesen Anforderungen wird die angefochtene Schlussverfügung gerecht, in- dem die Beschwerdegegnerin zunächst den Sachverhalt gemäss Rechtshil- feersuchen über zwei Seiten wiedergibt. Zudem legt sie dar, aus welchen Überlegungen sie zu ihrem Entscheid, die Rechtshilfe zu gewähren, gelangt. Namentlich wird klar, dass die Beschwerdegegnerin das Rechtshilfeersu- chen im Rahmen einer komplexen französischen Strafuntersuchung wegen Bestechung und Geldwäscherei gewürdigt und aufgrund des engen sachli- chen Konnexes von Banküberweisung und Tatvorwürfen die Voraussetzun- gen nach Art. 63 ff. IRSG bejaht hat. Der Begründungspflicht wurde somit Folge geleistet, eine sachgerechte Anfechtung war jedenfalls möglich. Eine Verletzung des Anspruchs auf rechtliches Gehör liegt damit nicht vor. Eine andere Frage ist, ob diese Überlegungen zutreffend sind und inhaltlich für den Entscheid ausreichen, was vorliegend von der Beschwerdeführerin be- stritten wird. Diese Frage betrifft den Entscheid in seinem materiellen Gehalt, worauf in den nachfolgenden Erwägungen eingegangen wird.</w:t>
      </w:r>
    </w:p>
    <w:p>
      <w:r>
        <w:rPr>
          <w:b/>
        </w:rPr>
        <w:t>E. 6.1</w:t>
      </w:r>
    </w:p>
    <w:p>
      <w:r>
        <w:t>Die Beschwerdeführerin bringt in materieller Hinsicht vor, die Sachverhalts- darstellung im Rechtshilfeersuchen weise „so viele Ungereimtheiten auf, dass sie gar nicht [wisse], wie sie diesen richtig stellen [könne]“. Zudem fehle es an der doppelten Strafbarkeit (act. 1, S. 7 ff.).</w:t>
      </w:r>
    </w:p>
    <w:p>
      <w:r>
        <w:rPr>
          <w:b/>
        </w:rPr>
        <w:t>E. 6.2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ebenso Art. 27 Ziff. 1 GwUe). Art. 28 Abs. 2 und 3 IRSG, Art. 10 Abs. 2 IRSV und Art. 27 Ziff. 1 lit. c GwUe stellen entsprechende Voraussetzungen an das Rechtshilfeersuchen. Diese Angaben müssen der ersuchten Behörde</w:t>
      </w:r>
    </w:p>
    <w:p>
      <w:r>
        <w:t>- 7 -</w:t>
      </w:r>
    </w:p>
    <w:p>
      <w:r>
        <w:t>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 Einwände, die sich auf die Richtigkeit der Darstellung beziehen, Gegenbehauptungen, Beweiseingaben oder -offerten, die nur das ausländische Sachurteil betref- fen, sind vom Rechtshilfegericht nicht zu hören (BGE 132 II 81 E. 2.1).</w:t>
      </w:r>
    </w:p>
    <w:p>
      <w:r>
        <w:rPr>
          <w:b/>
        </w:rPr>
        <w:t>E. 6.3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sofern er – analog – in der</w:t>
      </w:r>
    </w:p>
    <w:p>
      <w:r>
        <w:t>- 8 -</w:t>
      </w:r>
    </w:p>
    <w:p>
      <w:r>
        <w:t>Schweiz begangen worden wäre, die Tatbestandsmerkmale einer schweize- rischen Strafnorm erfüllen würde. Bei einem Verdacht auf Geldwäscherei braucht die Vortat indessen nach der bundesgerichtlichen Rechtsprechung nicht zwingend erwähnt zu werden. Es genügt grundsätzlich, wenn sog. geld- wäschereiverdächtige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diverser juristischer Personen in verschiedenen Staaten transferiert werden (BGE 129 II 97 E. 3.3). Nachfolgend ist somit zu prüfen, ob der Sachverhalt im Rechtshilfeersuchen genügend konkret dargestellt worden ist, damit eine Subsumtion unter einen schweizerischen Straftatbestand möglich ist.</w:t>
      </w:r>
    </w:p>
    <w:p>
      <w:r>
        <w:rPr>
          <w:b/>
        </w:rPr>
        <w:t>E. 6.4</w:t>
      </w:r>
    </w:p>
    <w:p>
      <w:r>
        <w:t>Dem Rechtshilfeersuchen vom 22. August 2017 lässt sich folgender Sach- verhalt entnehmen (Verfahrensakten pag. 01.000-0001 ff.):</w:t>
      </w:r>
    </w:p>
    <w:p>
      <w:r>
        <w:t>Gemäss den französischen Strafverfolgungsbehörden bestehe der Ver- dacht, dass die französische E. SA in den Korruptionsskandal rund um die B. SAM verwickelt gewesen sei. Die E. SA bzw. deren Vertreter H. hätten von der B. SAM unter Zwischenschaltung der in Panama ansässigen Gesell- schaft I. Corp. und der F. Holdings Bestechungsgelder bzw. sog. „kickbacks“ erhalten für die Betreuung eines Klienten im Jemen. Die französischen Be- hörden gehen davon aus, dass die Bestechungshandlungen im März 2004 ihren Anfang genommen hätten.</w:t>
      </w:r>
    </w:p>
    <w:p>
      <w:r>
        <w:t>Gestützt auf die spontane Übermittlung von Informationen der Beschwerde- gegnerin gemäss Art. 67a IRSG habe unter anderem festgestellt werden können, dass am 7. April 2006 auf dem Konto Nr. 3 der I. Corp. eine Gut- schrift von EUR 680‘000.-- seitens eines Kontos bei der Bank J. (Monaco) lautend auf die K. Corp. getätigt worden sei. Der wirtschaftlich Berechtigte am Konto der I. Corp. sei L. gewesen. Dieser sei zum damaligen Zeitpunkt Berater für Öl- und Gasprojekte im Dienste der K. Corp. – die ihren Hauptsitz in denselben Büroräumlichkeiten wie die B. SAM habe – tätig gewesen. In den Medien werde L. als Mittelsmann der B. SAM bezeichnet. Zwischen dem 24. Mai und dem 2. November 2006 seien auf das gleiche Konto der I. Corp. drei Gutschriften in Höhe von USD 1.5 Millionen seitens einer M. Ltd. von der Bank N. erfolgt. Ferner seien zwischen dem 31. Mai und dem 8. Novem- ber 2006 drei Zahlungen vom Konto der I. Corp. auf ein Konto bei der Bank D., lautend auf die Beschwerdeführerin, im Gesamtbetrag von USD 815‘000.-- getätigt worden.</w:t>
      </w:r>
    </w:p>
    <w:p>
      <w:r>
        <w:t>- 9 -</w:t>
      </w:r>
    </w:p>
    <w:p>
      <w:r>
        <w:rPr>
          <w:b/>
        </w:rPr>
        <w:t>E. 6.5</w:t>
      </w:r>
    </w:p>
    <w:p>
      <w:r>
        <w:t>Diese Darstellung genügt den Anforderungen an die Sachverhaltsdarstel- lung in Anwendung der üblichen Praxis zu den Artikeln 14 EUeR, 27 GwUe und 28 IRSG (vgl. supra E. 6.2). Sie enthält keine offensichtlichen Fehler, Lücken oder Widersprüche, welche eine Überprüfung der Strafbarkeit verun- möglichen würden. Ihr ist zu entnehmen, gegen wen sich das französische Strafverfahren richtet und ab welchem Zeitraum die strafbaren Handlungen begangen sein sollen. Ebenso ist klar, welche Delikte den Beschuldigten vor- geworfen werden: Bestechung fremder Amtsträger und Geldwäscherei. Zwar wird die Vortat zur Geldwäscherei, nämlich der Korruptionsverdacht, nur sehr rudimentär geschildert. Wie bereits ausgeführt, genügt es allerdings grundsätzlich, wenn verdächtige geldwäschereitypische Transaktionen und Vorkehren dargelegt werden, wie der Transfer von sehr hohen Geldbeträgen unklaren Ursprungs, die Transaktionen über Konten verschiedener Gesell- schaften aus verschiedenen Ländern, insbesondere aus Offshore-Finanz- plätzen sowie etwa die personellen Verknüpfungen der an den Geldgeschäf- ten beteiligten Gesellschaften und die dadurch erzeugten Zweifel über die endgültigen wirtschaftlich Berechtigten der Gesellschaften (vgl. Entscheid der [II.] Beschwerdekammer des Bundesstrafgerichts RR.2008.221 vom</w:t>
      </w:r>
    </w:p>
    <w:p>
      <w:r>
        <w:rPr>
          <w:b/>
        </w:rPr>
        <w:t>E. 9</w:t>
      </w:r>
    </w:p>
    <w:p>
      <w:r>
        <w:t>Bei diesem Ausgang des Verfahrens sind die Gerichtskosten der Beschwer- deführerin aufzuerlegen (Art. 63 Abs. 1 VwVG). Die Gerichtsgebühr ist auf</w:t>
      </w:r>
    </w:p>
    <w:p>
      <w:r>
        <w:t>- 11 -</w:t>
      </w:r>
    </w:p>
    <w:p>
      <w:r>
        <w:t>Fr. 4'000.-- festzusetzen (Art. 63 Abs. 5 VwVG i.V.m. Art. 73 StBOG sowie Art. 5 und 8 Abs. 3 lit. a BStKR), unter Anrechnung des geleisteten Kosten- vorschusses in derselben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