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RR.2018.130 vom 19. Juni 2018</w:t>
      </w:r>
    </w:p>
    <w:p>
      <w:r>
        <w:t>Bundesstrafgericht, 2018-06-19, DE</w:t>
      </w:r>
    </w:p>
    <w:p>
      <w:r>
        <w:rPr>
          <w:b/>
        </w:rPr>
        <w:t xml:space="preserve">Quelle: </w:t>
      </w:r>
      <w:r>
        <w:t>https://mcp.opencaselaw.ch/entscheid/bstger_RR.2018.130</w:t>
      </w:r>
    </w:p>
    <w:p>
      <w:r>
        <w:t>FR: TPF RR.2018.130 du 19 juin 2018</w:t>
      </w:r>
    </w:p>
    <w:p>
      <w:r>
        <w:t>IT: TPF RR.2018.130 del 19 giugno 2018</w:t>
      </w:r>
    </w:p>
    <w:p>
      <w:pPr>
        <w:pStyle w:val="Heading2"/>
      </w:pPr>
      <w:r>
        <w:t>Regeste</w:t>
      </w:r>
    </w:p>
    <w:p>
      <w:r>
        <w:t>Internationale Rechtshilfe in Strafsachen an Rumänien. Herausgabe von Beweismitteln (Art. 74 IRSG).</w:t>
      </w:r>
    </w:p>
    <w:p>
      <w:pPr>
        <w:pStyle w:val="Heading2"/>
      </w:pPr>
      <w:r>
        <w:t>Erwägungen</w:t>
      </w:r>
    </w:p>
    <w:p>
      <w:r>
        <w:rPr>
          <w:b/>
        </w:rPr>
        <w:t>E. 1.1</w:t>
      </w:r>
    </w:p>
    <w:p>
      <w:r>
        <w:t>Für die Rechtshilfe zwischen Rumänien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Ebenso zu Anwendung kommt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t>- 5 -</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Inhaberin der von der Rechtshilfe betroffenen Konten ist die Beschwer- deführerin zur Beschwerde legitimiert. Die gegen die Schlussverfügung vom 14. März 2018 erhobene Beschwerde vom 14. April 2018 wurde fristgerecht eingereicht. 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macht in einem ersten Punkt geltend, das Rechts- hilfeersuchen leide an einem Formmangel im Sinne von Art. 28 Abs. 2 lit. d IRSG. Sie ist der Ansicht, das Rechtshilfeersuchen enthalte keine genügen- den Angaben zur Person, gegen die sich das Strafverfahren richte. Zudem bestreitet sie das Vorliegen der Voraussetzung der doppelten Strafbarkeit.</w:t>
      </w:r>
    </w:p>
    <w:p>
      <w:r>
        <w:t>- 6 -</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 Einwände, die sich auf die Richtigkeit der Darstellung beziehen, Gegenbehauptungen, Beweiseingaben oder Offerten, die nur das ausländische Sachurteil betref- fen, sind vom Rechtshilfegericht nicht zu hören (BGE 132 II 81 E. 2.1).</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w:t>
      </w:r>
    </w:p>
    <w:p>
      <w:r>
        <w:t>- 7 -</w:t>
      </w:r>
    </w:p>
    <w:p>
      <w:r>
        <w:t>dass die im Ausland verfolgte Handlung die objektiven Merkmale eines nach schweizerischem Recht strafbaren Tatbestandes aufweist. 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 Schweiz begangen worden wäre, die Tatbestandsmerkmale einer schweize- rischen Strafnorm erfüllen würde.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 ten (BGE 129 II 462 E. 4.6 S. 466). Ebenfalls nicht erforderlich ist, dass dem von der Rechtshilfemassnahme Betroffenen im ausländischen Strafverfah- ren selbst ein strafbares Verhalten zur Last gelegt wird (Urteil des Bundes- gerichts 1A.245/2006 vom 26. Januar 2007 E. 3). Nachfolgend ist somit zu prüfen, ob der Sachverhalt im Rechtshilfeersuchen und dessen Ergänzung genügend konkret dargestellt worden ist, damit eine Subsumtion unter einen schweizerischen Straftatbestand möglich ist.</w:t>
      </w:r>
    </w:p>
    <w:p>
      <w:r>
        <w:rPr>
          <w:b/>
        </w:rPr>
        <w:t>E. 4.4</w:t>
      </w:r>
    </w:p>
    <w:p>
      <w:r>
        <w:t>Dem Rechtshilfeersuchen vom 4. Mai 2017 liegt folgender Sachverhalt zu- grunde:</w:t>
      </w:r>
    </w:p>
    <w:p>
      <w:r>
        <w:t>Am 25. November 2016 habe E. bei der Nationalen Antikorruptionsbehörde Anzeige eingereicht wegen Bestechung begangen im Zusammenhang mit der Genehmigung einer „Note“ betreffend Softwarelizenzen an den rumäni- schen Schulen […] durch den damaligen Premierminister Rumäniens, F.</w:t>
      </w:r>
    </w:p>
    <w:p>
      <w:r>
        <w:t>Zuvor, nämlich Ende 2010, hätten die Gesellschaften G. und H. das rumäni- sche Ministerium für Kommunikation verschiedentlich darauf hingewiesen, dass für den EDV-Unterricht an den rumänischen Schulen Lizenzen benötigt würden. In der Folge habe der damalige Minister des Ministeriums für Kom- munikation, I., der Regierung eine „Note“ zur Genehmigung unterbreitet be- treffend die Einholung von Lizenzen. Diese „Note“ sei vom Premierminister abgelehnt worden. Laut E. sei es alsdann klar gewesen, dass nur Personen aus dem Umfeld des Premierministers einen positiven Einfluss auf die Ge- nehmigung der erwähnten Note hätten ausüben können.</w:t>
      </w:r>
    </w:p>
    <w:p>
      <w:r>
        <w:t>- 8 -</w:t>
      </w:r>
    </w:p>
    <w:p>
      <w:r>
        <w:t>Die Untersuchungen hätten gezeigt, dass gestützt auf die spätere Genehmi- gung der „Note“ mit der J. AG am 17. August 2011 ein Vertrag abgeschlos- sen worden sei betreffend die Ausstattung der Schulen mit Software- Lizenzen über einen Betrag von EUR 13‘904‘599. Bei der J. AG habe es sich um eine von E. und B. kontrollierte Gesellschaft gehan- delt. Ausserdem habe festgestellt werden können, dass B. über den Mittels- mann I. C. kontaktiert habe. Diese habe versprochen, für eine Gegenleistung von EUR 1 Mio. bei F. zu intervenieren, damit dieser die betreffende „Note“ bewillige. B. habe den Betrag von EUR 1 Mio. in zwei Tranchen zu Euro 750‘000.-- und 250‘000.-- am 13. und 15. Juli 2017 von einem Konto der Beschwerdeführerin auf ein Konto von K. bei der Bank L. in Lausanne überwiesen. K. habe alsdann den Anweisungen von C. entsprechend EUR 720‘621 auf ein Konto der M. Ltd. bei der Bank N. in Genf überwiesen und den Restbetrag 3 bis 4 Wochen später C. in bar ausgehändigt. Bei der M. Ltd. habe es sich um eine von C. kontrollierte Gesellschaft gehandelt, und am Konto der M. Ltd. bei der Bank N. seien C. und deren Mutter, O., berech- tigt gewesen (act. 1.4).</w:t>
      </w:r>
    </w:p>
    <w:p>
      <w:r>
        <w:rPr>
          <w:b/>
        </w:rPr>
        <w:t>E. 4.5.1</w:t>
      </w:r>
    </w:p>
    <w:p>
      <w:r>
        <w:t>Aktive Bestechung im Sinne von Art. 322ter StGB begeht, wer einem Mitglied einer richterlichen oder anderen Behörde, einem Beamten, einem amtlich bestellten Sachverständigen, Übersetzer oder Dolmetscher, einem Schieds- richter oder einem Angehörigen der Armee im Zusammenhang mit dessen amtlicher Tätigkeit für eine pflichtwidrige oder eine im Ermessen stehenden Handlung oder Unterlassung zu dessen Gunsten oder zu Gunsten eines Drit- ten einen nicht gebührenden Vorteil anbietet, verspricht oder gewährt. Dem- gegenüber bildet die passive Bestechung im Sinne von Art. 322quater StGB das Gegenstück zu Art. 322ter StGB und bezieht sich auf den Amtsträger, der einen nicht gebührenden Vorteil annimmt, sich versprechen lässt oder for- dert.</w:t>
      </w:r>
    </w:p>
    <w:p>
      <w:r>
        <w:t>Ferner macht sich der Vorteilsgewährung im Sinne von Art. 322quinquies StGB strafbar, wer einem Mitglied einer richterlichen oder anderen Behörde, einem Beamten, einem amtlich bestellten Sachverständigen, Übersetzer oder Dol- metscher, einem Schiedsrichter oder einem Angehörigen der Armee im Hin- blick auf die Amtsführung zu dessen Gunsten oder zu Gunsten eines Dritten einen nicht gebührenden Vorteil anbietet, verspricht oder gewährt. Die Vor- teilsannahme nach Art. 322sexies StGB stellt wiederum das Gegenstück zu Art. 322quinquies StGB dar.</w:t>
      </w:r>
    </w:p>
    <w:p>
      <w:r>
        <w:rPr>
          <w:b/>
        </w:rPr>
        <w:t>E. 4.5.2</w:t>
      </w:r>
    </w:p>
    <w:p>
      <w:r>
        <w:t>Gemäss den Ausführungen im rumänischen Rechtshilfeersuchen soll eine Drei- oder Mehrparteienbeziehung vorliegen, in welcher eine Person, die mutmasslich Einfluss auf einen Amtsträger ausüben kann, von einem Dritten</w:t>
      </w:r>
    </w:p>
    <w:p>
      <w:r>
        <w:t>- 9 -</w:t>
      </w:r>
    </w:p>
    <w:p>
      <w:r>
        <w:t>einen Vorteil erhalten soll, damit die Einflussnahme auf den Amtsträger er- folgt. Eine derartige „missbräuchliche Einflussnahme“ ist im Schweizeri- schen Strafgesetzbuch nicht unter Strafe gestellt und lässt sich nur unter be- stimmten Voraussetzungen unter die Art. 322ter bis 322sexies StGB subsumie- ren (vgl. BBl 2014 3604; JOSITSCH, Das Schweizerische Korruptionsstraf- recht, Zürich/Basel/Genf 2004, S. 391). Der Bundesrat kam bereits in seiner Botschaft aus dem Jahr 2004 zum Schluss, dass sich eine Strafnorm zur missbräuchlichen Einflussnahme als wenig effizient erweisen und nament- lich zu Beweisschwierigkeiten führen würde. Zudem würde sich die Abgren- zung der zulässigen Verhaltensweisen, wie z.B. dem Lobbying, von den un- zulässigen als sehr risikobehaftetes und komplexes Unterfangen erweisen (BBl 2004 6983, 7016). Von dieser Haltung ist der Bundesrat denn auch in seiner Botschaft vom 30. April 2014 über die Änderung des Korruptionsstraf- rechts nicht abgewichen. Der Gesetzgeber habe es entsprechend bevorzugt, den Fokus auf die Integrität der Amtsträger zu legen, deren Bestechungs- handlungen das Vertrauen der Bürgerinnen und Bürger in die öffentliche Ver- waltung, die Justiz und generell die Behörden gefährden könne, anstatt das Verhalten von Privatpersonen zu bestrafen, die sich ausserhalb der öffentli- chen Verwaltung befänden (vgl. BBl 2014 3591, 3604 f.). Entsprechend hat die Schweiz auch im Rahmen der Ratifizierung des europäischen Straf- rechtsübereinkommen über Korruption (SR 0.311.55; für die Schweiz in Kraft seit 1. Juli 2006) zu Art. 12 („Missbräuchliche Einflussnahme“) einen Vorbe- halt angebracht. Danach behält sich die Schweiz das Recht vor, Art. 12 des Strafrechtübereinkommens nur insoweit anzuwenden, als die dort umschrie- benen Sachverhalte nach schweizerischem Recht eine strafbare Handlung bilden. Dieser Vorbehalt wurde am 1. Juli 2015 um weitere 3 Jahre verlän- gert. Die „missbräuchliche Einflussnahme“ soll durch die Art. 322ter bis 322se- xies bzw. 322septies StGB abgedeckt sein, wenn der Intermediär selbst ein Amtsträger sei. Dieser sei, wenn er einen Vorteil annehme, um seinen Ein- fluss auf einen ebenfalls mit einer öffentlichen Aufgabe betrauten Dritten aus- zuüben, des Sich-bestechen-Lassens (Art. 322quater StGB) oder der Vorteils- annahme (Art. 322sexies StGB) strafbar. Die den Vorteil gewährende Person mache sich ihrerseits nach Art. 322ter StGB (Bestechen) oder nach Art. 322quinquies StGB (Vorteilsgewährung) strafbar. Dazu sei jedoch erforder- lich, dass der gewährte Vorteil im Zusammenhang mit der Amtstätigkeit stehe und nicht als Privatzuwendung zu betrachten sei. Anders ausgedrückt ist nach Ansicht des Bundesrats jeder Fall als Delikt anzusehen, in dem ein Amtsträger von einem Privaten einen nicht gebührenden Vorteil fordere oder sich gewähren lasse, um seinen Einfluss auf einen anderen Amtsträger zu missbrauchen, sofern die Einflussnahme im Zusammenhang mit seiner ei- genen Amtsführung stehe. Wenn dagegen der Vorteil auf Grund einer ande- ren Eigenschaft gewährt werde, wie zum Beispiel der Zugehörigkeit zu einer</w:t>
      </w:r>
    </w:p>
    <w:p>
      <w:r>
        <w:t>- 10 -</w:t>
      </w:r>
    </w:p>
    <w:p>
      <w:r>
        <w:t>politischen Partei oder zum gleichen Verein, falle dieses Verhalten nicht un- ter das Strafgesetzbuch. Eine solche Konstellation liege beispielsweise dann vor, wenn ein Angestellter des Bundes eine Geldsumme von einem Privaten erhalte, um seinen Einfluss gegenüber einem kantonalen Regierungsrat, der sein Nachbar und Tennis-Partner sei, auszuüben, damit dieser dem Privaten eine Aufenthaltsbewilligung erteile (BBl 2004 6983, 7014).</w:t>
      </w:r>
    </w:p>
    <w:p>
      <w:r>
        <w:t>Ist der Intermediär hingegen eine Privatperson, soll dieser nicht strafbar sein, ausser wenn vorgesehen sei, den zu beeinflussenden Amtsträger einzube- ziehen. Dies sei der Fall, wenn der Amtsträger in eine Bestechungsabrede eintrete und sie akzeptiere. So soll sich je nach Absprache unter den Betei- ligten der Dritte und der Intermediär je der aktiven Bestechung und der Amts- träger der passiven Bestechung strafbar machen. Wenn die den Vorteil ver- sprechende Person mit dem Intermediär vereinbare, dass dieser den Amts- träger direkt bestechen solle, der Intermediär jedoch nicht tätig werde, liege ein Fall der versuchten Anstiftung zu aktiver Bestechung vor, der in Anwen- dung von Art. 24 Abs. 2 StGB strafbar sei (vgl. BBl 2004 6983, 7014; BBl 2014 3591, 3604 f.; Erläuternder Bericht über die Änderung des Strafge- setzbuchs und des Militärstrafgesetzes [Korruptionsstrafrecht] vom 15. Mai 2013, S.13 f.).</w:t>
      </w:r>
    </w:p>
    <w:p>
      <w:r>
        <w:rPr>
          <w:b/>
        </w:rPr>
        <w:t>E. 4.5.3</w:t>
      </w:r>
    </w:p>
    <w:p>
      <w:r>
        <w:t>Massgebend für die Subsumierung des im Rechtshilfeersuchen geschilder- ten Sachverhalts unter einen Tatbestand der Art. 322ter bis 322sexies StGB ist somit zunächst in welcher Funktion C. tätig gewesen sein soll, ob als Amts- trägerin oder als Privatperson. Genau dies geht aus dem im Rechtshilfeer- suchen geschilderten Sachverhalt aber nicht hervor. Alleine die Aussage, dass C. aus dem Umfeld des Premierministers stammen soll, lässt keine Rückschlüsse auf ihre damalige Funktion zu. Hätte C. in ihrer Funktion als Amtsträgerin gehandelt, liesse sich das Verhalten von B. und C. gemäss den oben ausgeführten Überlegungen dann unter die Tatbestände von Art. 322ter StGB (oder allenfalls Art. 322quinquies StGB) und Art. 322quater StGB (oder al- lenfalls 322sexies StGB) subsumieren, wenn der gewährte Vorteil im Zusam- menhang mit der Amtstätigkeit von C. stünde. Dies müsste jedoch aus dem Rechtshilfeersuchen klar hervorgehen. Falls C. jedoch als Privatperson missbräuchlich auf F. Einfluss genommen haben sollte, müsste näher ge- prüft werden, ob und in welchem Umfang F. – gegen den sich das rumäni- sche Strafverfahren soweit ersichtlich nicht richtet – in die Bestechungsab- rede im Sinne des zuvor Dargelegten (vgl. E. 4.5.2) eingetreten ist. Diesbe- züglich lässt sich dem Rechtshilfeersuchen jedoch ebenfalls nichts entneh- men. Damit scheidet gestützt auf die gegenwärtige Sachverhaltsdarstellung eine Subsumtion des Sachverhalts unter die Tatbestände Art. 322ter bis 322sexies StGB aus.</w:t>
      </w:r>
    </w:p>
    <w:p>
      <w:r>
        <w:t>- 11 -</w:t>
      </w:r>
    </w:p>
    <w:p>
      <w:r>
        <w:rPr>
          <w:b/>
        </w:rPr>
        <w:t>E. 4.5.4</w:t>
      </w:r>
    </w:p>
    <w:p>
      <w:r>
        <w:t>Der im Rechtshilfeersuchen geschilderte Sachverhalt lässt sich auch nicht unter einen anderen Straftatbestand des Schweizerischen Strafrechts sub- sumieren. Insbesondere entfällt die Subsumierung unter den Straftatbestand der Bestechung Privater im Sinne von Art. 322octies StGB, da die mutmassli- che Bestechung gerade nicht im privaten Sektor stattgefunden haben soll. Entgegen der Ansicht der Beschwerdegegnerin kommt vorliegend auch nicht eine Subsumierung unter den Tatbestand der ungetreuen Amtsführung im Sinne von Art. 314 StGB im Betracht, da im Rechtshilfeersuchen keinerlei Angaben zu einem allfälligen strafbaren Verhalten von F. selber zu entneh- men sind. Damit ist schliesslich auch die Wahrscheinlichkeit des Vorliegens einer Vortat zur Geldwäscherei im Sinne von Art. 305bis StGB nicht dargetan, weshalb auch eine Subsumierung unter den letztgenannten Tatbestand ent- fällt.</w:t>
      </w:r>
    </w:p>
    <w:p>
      <w:r>
        <w:rPr>
          <w:b/>
        </w:rPr>
        <w:t>E. 4.6</w:t>
      </w:r>
    </w:p>
    <w:p>
      <w:r>
        <w:t>Dies führt dazu, dass das Erfordernis der doppelten Strafbarkeit vorliegend nicht gegeben ist, weshalb der durch die ersuchende Behörde anbegehrten Herausgabe der Kontounterlagen vorläufig nicht entsprochen werden kann. Unter diesem Gesichtspunkt ist die Beschwerde gutzuheissen und die Schlussverfügung aufzuheben.</w:t>
      </w:r>
    </w:p>
    <w:p>
      <w:r>
        <w:t>Damit erübrigt sich die Prüfung aller weiteren von der Beschwerdeführerin vorgebrachten Rügen.</w:t>
      </w:r>
    </w:p>
    <w:p>
      <w:r>
        <w:rPr>
          <w:b/>
        </w:rPr>
        <w:t>E. 5</w:t>
      </w:r>
    </w:p>
    <w:p>
      <w:r>
        <w:t>Art. 28 Abs. 6 IRSG und Art. 28 Ziff. 1 und 2 GwUe sehen vor, dass ein Rechtshilfeersuchen, welches den formellen Anforderungen nicht entspricht, verbessert oder ergänzt werden kann. Der Beschwerdegegnerin ist daher eine Frist von drei Monaten ab Rechtskraft dieses Entscheides einzuräumen, innert welcher sie bei den rumänischen Behörden den Sachverhalt ergän- zende Ausführungen im Sinne der Erwägungen 4.5.3 bzw. 4.5.4 einzuholen hat, um definitiv zu klären, ob eine Subsumption des vorgeworfenen Sach- verhaltes unter einen Tatbestand des schweizerischen Strafrechts möglich ist und um alsdann erneut über das Rechtshilfeersuchen und die Heraus- gabe der Bankunterlagen zu befinden.</w:t>
      </w:r>
    </w:p>
    <w:p>
      <w:r>
        <w:t>- 12 -</w:t>
      </w:r>
    </w:p>
    <w:p>
      <w:r>
        <w:rPr>
          <w:b/>
        </w:rPr>
        <w:t>E. 6</w:t>
      </w:r>
    </w:p>
    <w:p>
      <w:r>
        <w:t>Bei diesem Ausgang des Verfahrens hat die Beschwerdeführerin vollum- fänglich obsiegt. Es sind keine Gerichtskosten zu erheben (vgl. Art. 63 Abs. 3 VwVG i.V.m. Art. 12 Abs. 1 IRSG, Art. 39 Abs. 2 lit. b StBOG und Art. 37 Abs. 2 lit. a StBOG). Die Kasse des Bundesstrafgerichts ist anzuweisen, der Beschwerdeführerin den geleisteten Kostenvorschuss von Fr. 4'000.-- voll- umfänglich zurückzuerstatten. Die Beschwerdeführerin hat Anspruch auf eine pauschale Prozessentschädigung von Fr. 2'000.-- inkl. MwSt. (vgl. Art. 64 Abs. 1 und 2 VwVG; Art. 73 Abs. 1 lit. c StBOG i.V.m. Art. 10 bis 14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