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RR.2018.129 vom 18. Mai 2018</w:t>
      </w:r>
    </w:p>
    <w:p>
      <w:r>
        <w:t>Bundesstrafgericht, 2018-05-18, IT</w:t>
      </w:r>
    </w:p>
    <w:p>
      <w:r>
        <w:rPr>
          <w:b/>
        </w:rPr>
        <w:t xml:space="preserve">Quelle: </w:t>
      </w:r>
      <w:r>
        <w:t>https://mcp.opencaselaw.ch/entscheid/bstger_RR.2018.129</w:t>
      </w:r>
    </w:p>
    <w:p>
      <w:r>
        <w:t>FR: TPF RR.2018.129 du 18 mai 2018</w:t>
      </w:r>
    </w:p>
    <w:p>
      <w:r>
        <w:t>IT: TPF RR.2018.129 del 18 maggio 2018</w:t>
      </w:r>
    </w:p>
    <w:p>
      <w:pPr>
        <w:pStyle w:val="Heading2"/>
      </w:pPr>
      <w:r>
        <w:t>Regeste</w:t>
      </w:r>
    </w:p>
    <w:p>
      <w:r>
        <w:t>Assistenza giudiziaria internazionale in materia penale all'italia. Decisioni incidentali (art. 80e cpv. 2 AIMP). Esame degli atti (art. 80b AIMP).</w:t>
      </w:r>
    </w:p>
    <w:p>
      <w:pPr>
        <w:pStyle w:val="Heading2"/>
      </w:pPr>
      <w:r>
        <w:t>Erwägungen</w:t>
      </w:r>
    </w:p>
    <w:p>
      <w:r>
        <w:rPr>
          <w:b/>
        </w:rPr>
        <w:t>E. 3</w:t>
      </w:r>
    </w:p>
    <w:p>
      <w:r>
        <w:t>AIMP per quanto concerne le persone contro cui è diretto il procedimento penale all’estero); - che il concetto di persona toccata ai sensi dei predetti articoli di legge trova concretizzazione sia nella giurisprudenza che all'art. 9a OAIMP: per essere considerato personalmente e direttamente toccato da una misura di assi- stenza giudiziaria internazionale, il ricorrente deve avere un legame sufficien- temente stretto con la decisione litigiosa (DTF 123 II 161 consid. 1 d/aa); - che in via giurisprudenziale è stato altresì precisato che la legittimazione a ricorrere compete alla persona direttamente sottoposta a una misura coerci- tiva (perquisizione, sequestro o interrogatorio; DTF 137 IV 134 consid. 5.2.2;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 menti (DTF 137 IV 134 consid. 5.2.1);</w:t>
      </w:r>
    </w:p>
    <w:p>
      <w:r>
        <w:t>- 5 -</w:t>
      </w:r>
    </w:p>
    <w:p>
      <w:r>
        <w:t>- che, eccezionalmente, la qualità per ricorrere è riconosciuta all'avente diritto economico di una società titolare di un conto quando la stessa è disciolta, riservato l'abuso di diritto (DTF 137 IV 134 consid. 5.2.1; 123 II 153 consid. 2c e d; v. sentenza del Tribunale penale federale RR.2016.135 del 9 gennaio 2017 consid. 1.5.1 e rinvii); - che in questo caso, tocca all'avente diritto economico dimostrare anzitutto la liquidazione della società mediante documentazione ufficiale (sentenze del Tribunale federale 1A.212/2001 del 21 marzo 2002 consid. 1.3.2; 1A.10/2000 del 18 maggio 2000 consid. 1e; 1A.131/1999 del 26 agosto 1999 consid. 3; 1A.236/1998 del 25 gennaio 1999 consid. 1b/bb); - che egli deve inoltre dimostrare attraverso questa stessa documentazione op- pure mediante altre prove di essere il beneficiario dello scioglimento della so- cietà in quanto tale (sentenza del Tribunale federale 1C_370/2012 del 3 otto- bre 2012 consid. 2.7; sentenze del Tribunale penale federale RR.2016.135 del 9 gennaio 2017 consid. 1.5.1; RR.2012.257 del 2 luglio 2013 consid. 1.2.1; RR.2012.252 del 7 giugno 2013 consid. 2.2.1) e quindi non semplicemente di un suo conto bancario (TPF 2009 183 consid. 2.2.2); - che la giurisprudenza ha precisato che la produzione del formulario A, firmato dall'avente diritto economico del conto di cui è titolare una società sciolta, non è sufficiente per comprovare la sua qualità di beneficiario dello scioglimento di questa società (TPF 2009 183 consid. 2.2.2 e rinvii); - che il ricorrente non si confronta con questa giurisprudenza, limitandosi in so- stanza a produrre documentazione relativa a detto formulario (v. act. 1.3 e 1.4), ma nulla adducendo di supplementare per dimostrare di essere econo- micamente subentrato a detta società; - che la scarna documentazione bancaria prodotta risulta per altro molto re- cente per cui non si vede perché non abbia potuto produrre anche la restante documentazione richiesta dalla giurisprudenza; - che la prova non risultava dunque particolarmente gravosa (sulle eventuali difficoltà a reperire documentazione meno recente, risp. estera v. CAPPA, Averi societari sotto sequestro: res nullius?, in: forumpoenale 2018, pag. 45); - che di conseguenza il ricorrente non beneficia della qualità di parte, per cui non può nemmeno pretendere l'accesso agli atti ex art. 80b AIMP;</w:t>
      </w:r>
    </w:p>
    <w:p>
      <w:r>
        <w:t>- 6 -</w:t>
      </w:r>
    </w:p>
    <w:p>
      <w:r>
        <w:t>- che il ricorso si rivela pertanto di primo acchito infondato, motivo per cui la Corte non ha proceduto allo scambio di scritti (v. art. 57 cpv. 1 PA e contrario); - che, visto quanto precede, la richiesta di concessione dell’effetto sospensivo è divenuta priva d’oggetto; - che il ricorrente, risultando soccombente, deve sopportare le spese proces- suali cagionate (art. 63 cpv. 1 PA); - che la tassa di giustizia è calcolata giusta gli art. 73 cpv. 2 LOAP, 63 cpv. 4bis PA, nonché 5 e 8 cpv. 3 del regolamento del 31 agosto 2010 sulle spese, gli emolumenti, le ripetibili e le indennità della procedura penale federale (RSPPF; RS 173.713.162), ed è fissata a complessivi fr. 2’000.–; - che il suddetto importo è coperto dall'anticipo spese di fr. 3'000.– già versato; il saldo di fr. 1'000.– è restituito al ricorrente.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