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RR.2018.12 vom 18. April 2018</w:t>
      </w:r>
    </w:p>
    <w:p>
      <w:r>
        <w:t>Bundesstrafgericht, 2018-04-18, FR</w:t>
      </w:r>
    </w:p>
    <w:p>
      <w:r>
        <w:rPr>
          <w:b/>
        </w:rPr>
        <w:t xml:space="preserve">Quelle: </w:t>
      </w:r>
      <w:r>
        <w:t>https://mcp.opencaselaw.ch/entscheid/bstger_RR.2018.12</w:t>
      </w:r>
    </w:p>
    <w:p>
      <w:r>
        <w:t>FR: TPF RR.2018.12 du 18 avril 2018</w:t>
      </w:r>
    </w:p>
    <w:p>
      <w:r>
        <w:t>IT: TPF RR.2018.12 del 18 aprile 2018</w:t>
      </w:r>
    </w:p>
    <w:p>
      <w:pPr>
        <w:pStyle w:val="Heading2"/>
      </w:pPr>
      <w:r>
        <w:t>Regeste</w:t>
      </w:r>
    </w:p>
    <w:p>
      <w:r>
        <w:t>Entraide judiciaire internationale en matière pénale au Kazakhstan. Remise de moyens de preuve (art. 74 EIMP).</w:t>
      </w:r>
    </w:p>
    <w:p>
      <w:pPr>
        <w:pStyle w:val="Heading2"/>
      </w:pPr>
      <w:r>
        <w:t>Erwägungen</w:t>
      </w:r>
    </w:p>
    <w:p>
      <w:r>
        <w:rPr>
          <w:b/>
        </w:rPr>
        <w:t>E. 1.1</w:t>
      </w:r>
    </w:p>
    <w:p>
      <w:r>
        <w:t>L'entraide judiciaire entre le Kazakhstan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 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 cours dirigés contre les décisions de clôture de la procédure d’entraide ren- dues par l’autorité fédérale ou cantonale d’exécution.</w:t>
      </w:r>
    </w:p>
    <w:p>
      <w:r>
        <w:rPr>
          <w:b/>
        </w:rPr>
        <w:t>E. 1.3</w:t>
      </w:r>
    </w:p>
    <w:p>
      <w:r>
        <w:t>Le recours a été formé dans le délai de 30 jours institué par l'art. 80k EIMP.</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(cf. ATF 137 IV 134 con- sid. 5.2.1 et 118 Ib 547 consid. 1d).</w:t>
      </w:r>
    </w:p>
    <w:p>
      <w:r>
        <w:t>En l'espèce, le recourant revêt cette qualité.</w:t>
      </w:r>
    </w:p>
    <w:p>
      <w:r>
        <w:rPr>
          <w:b/>
        </w:rPr>
        <w:t>E. 1.5</w:t>
      </w:r>
    </w:p>
    <w:p>
      <w:r>
        <w:t>La documentation objet de la décision entreprise a été recueillie dans le cadre de la procédure pénale ouverte par le MPC.</w:t>
      </w:r>
    </w:p>
    <w:p>
      <w:r>
        <w:rPr>
          <w:b/>
        </w:rPr>
        <w:t>E. 1.5.1</w:t>
      </w:r>
    </w:p>
    <w:p>
      <w:r>
        <w:t>Lorsque les informations dont la remise est envisagée proviennent d’une procédure interne et sont, dès lors, déjà en mains de l’autorité d’exécution, il</w:t>
      </w:r>
    </w:p>
    <w:p>
      <w:r>
        <w:t>- 4 -</w:t>
      </w:r>
    </w:p>
    <w:p>
      <w:r>
        <w:t>y a en principe lieu d’admettre que l’administré n’est touché que de manière indirecte, de sorte qu’il n’est pas légitimé à recourir (cf. notamment arrêt du Tribunal pénal fédéral RR.2014.106-109 du 3 novembre 2014, consid. 1.5, et les références citées).</w:t>
      </w:r>
    </w:p>
    <w:p>
      <w:r>
        <w:t>Ce principe a été tempéré par la jurisprudence, notamment lorsque l’autorité d’exécution envisage de transmettre des documents bancaires ou des pro- cès-verbaux contenant des informations sur les comptes bancaires dont l’ad- ministré est titulaire, dans la mesure où leur transmission emporterait trans- mission d’informations bancaires (art. 9a let. a OEIMP; ATF 124 II 180 consid. 2b; arrêt du Tribunal fédéral 1A.33/2005 du 15 mars 2005, consid. 4; TPF 2007 79 consid. 1.6.1 et 1.6.3).</w:t>
      </w:r>
    </w:p>
    <w:p>
      <w:r>
        <w:rPr>
          <w:b/>
        </w:rPr>
        <w:t>E. 1.5.2</w:t>
      </w:r>
    </w:p>
    <w:p>
      <w:r>
        <w:t>Or, cette condition est réalisée en l'espèce, ainsi que nous l'avons vu (con- sid. 1.4).</w:t>
      </w:r>
    </w:p>
    <w:p>
      <w:r>
        <w:rPr>
          <w:b/>
        </w:rPr>
        <w:t>E. 1.6</w:t>
      </w:r>
    </w:p>
    <w:p>
      <w:r>
        <w:t>Au vu de ce qui précède, il y a lieu d'entrer en matière sur le recours.</w:t>
      </w:r>
    </w:p>
    <w:p>
      <w:r>
        <w:rPr>
          <w:b/>
        </w:rPr>
        <w:t>E. 2.1</w:t>
      </w:r>
    </w:p>
    <w:p>
      <w:r>
        <w:t>Le recourant se plaint en substance d'une violation du principe de la propor- tionnalité, respectivement d'un abus du pouvoir d'appréciation. Ni lui-même ni le compte litigieux ne présenterait de liens avec le mécanisme décrit par l'autorité requérante; la demande d'entraide ne ferait d'ailleurs même pas allusion à ladite relation bancaire.</w:t>
      </w:r>
    </w:p>
    <w:p>
      <w:r>
        <w:rPr>
          <w:b/>
        </w:rPr>
        <w:t>E. 2.2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w:t>
      </w:r>
    </w:p>
    <w:p>
      <w:r>
        <w:t>- 5 -</w:t>
      </w:r>
    </w:p>
    <w:p>
      <w:r>
        <w:t>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2.3</w:t>
      </w:r>
    </w:p>
    <w:p>
      <w:r>
        <w:t>Les autorités suisses sont tenues, au sens de la procédure d’entraide, d’as- sister les autorités étrangères dans la recherche de la vérité en exécutant toute mesure présentant un rapport suffisant avec l’enquête pénale à l’étran- 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 trainte ne sont pas réservées aux seules personnes poursuivies dans la pro- cédure étrangère, mais à toutes celles qui détiendraient des informations, des pièces, des objets ou des valeurs ayant un lien objectif avec les faits sous enquête dans l’Etat requérant (arrêt du Tribunal fédéral 1A.70/2002 du</w:t>
      </w:r>
    </w:p>
    <w:p>
      <w:r>
        <w:rPr>
          <w:b/>
        </w:rPr>
        <w:t>E. 2.4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 née par les autorités de l’Etat requérant et les documents visés par la remise</w:t>
      </w:r>
    </w:p>
    <w:p>
      <w:r>
        <w:t>- 6 -</w:t>
      </w:r>
    </w:p>
    <w:p>
      <w:r>
        <w:t>(ATF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 sid. 4.2; 1A.59/2005 du 26 avril 2005 consid. 6.3). Certes, il se peut égale- ment que les comptes litigieux n’aient pas servi à recevoir le produit d’infrac- tions pénales, ni à opérer des virements illicites ou à blanchir des fonds. L’autorité requérante n’en dispose pas moins d’un intérêt à pouvoir le vérifier elle-même, sur le vu d’une documentation complète (ATF 118 Ib 547 con- sid. 3a; arrêt du Tribunal fédéral 1A.88/2006 du 22 juin 2006 consid. 5.3; arrêt du Tribunal pénal fédéral RR.2008.287 du 9 avril 2009 consid. 2.2.4 et la jurisprudence citée). L’autorité d’exécution, respectivement l’autorité de recours en matière d’entraide, ne peut pas se substituer au juge pénal étran- ger et n’est pas compétente pour se prononcer sur la substance des chefs d’accusation formulés par les autorités de poursuite (v. ATF 132 II 81 con- sid. 2.1; 122 II 373 consid. 1c p. 375; 112 Ib 215 consid. 5b; 109 Ib 60 con- sid. 5a p. 63 et renvois).</w:t>
      </w:r>
    </w:p>
    <w:p>
      <w:r>
        <w:rPr>
          <w:b/>
        </w:rPr>
        <w:t>E. 3</w:t>
      </w:r>
    </w:p>
    <w:p>
      <w:r>
        <w:t>mai 2002 consid. 4.3; arrêt du Tribunal pénal fédéral RR.2013.301 du 22 mai 2014 consid. 6.2).</w:t>
      </w:r>
    </w:p>
    <w:p>
      <w:r>
        <w:rPr>
          <w:b/>
        </w:rPr>
        <w:t>E. 3.1</w:t>
      </w:r>
    </w:p>
    <w:p>
      <w:r>
        <w:t>Dans son arrêt RR.2017.240 du 31 octobre 2017, la Cour de céans a retenu (consid. 2.2) que selon l'autorité requérante, B. aurait détourné des valeurs patrimoniales à hauteur d'environ USD 70 mio au préjudice de trois sociétés (la Compagnie E., la Compagnie F. et la Compagnie G.). L'argent en ques- tion aurait été versé sur des comptes détenus auprès de banques suisses notamment par les sociétés H. Ltd et I. Ltd, avec le concours, notamment, du recourant. Était sollicitée la remise, entre autres, de la documentation re- lative à toute relation bancaire dont les dernières entités précitées sont ou ont été titulaires. Dans une des annexes à la demande d'entraide, l'autorité requérante avait exposé qu'il existait des liens entre le recourant d'une part et H. Ltd et I. Ltd d'autre part.</w:t>
      </w:r>
    </w:p>
    <w:p>
      <w:r>
        <w:t>La Cour de céans en a déduit (arrêt RR.2017.240 précité, consid. 2.3) que l'autorité requérante avait mis en évidence des liens précis entre le recourant et le mécanisme délictueux décrit. Au surplus, les documents litigieux, en ce qu'ils concernaient H. Ltd et I. Ltd – par le biais du recourant – faisaient partie</w:t>
      </w:r>
    </w:p>
    <w:p>
      <w:r>
        <w:t>- 7 -</w:t>
      </w:r>
    </w:p>
    <w:p>
      <w:r>
        <w:t>de ceux requis par les autorités kazakhes. Le grief tiré d'une violation du principe de la proportionnalité était ainsi mal fondé. Cela vaut aussi pour ceux de l'abus du pouvoir d'appréciation – qui, tel que formulé par le recou- rant, se confond avec celui-ci.</w:t>
      </w:r>
    </w:p>
    <w:p>
      <w:r>
        <w:rPr>
          <w:b/>
        </w:rPr>
        <w:t>E. 3.2</w:t>
      </w:r>
    </w:p>
    <w:p>
      <w:r>
        <w:t>En l'espèce, ces considérations s'appliquent mutatis mutandis, étant précisé que des fonds ont été versés de H. Ltd et I. Ltd vers le compte bancaire litigieux – ce qui n'est pas contesté (cf. act. 1, p. 12). L'analyse de la docu- mentation bancaire dont la remise à l'Etat requérant a été ordonnée par le MPC est susceptible de reconstituer les flux financiers liés aux infractions investiguées au Kazakhstan. Celle-ci présente ainsi à tout le moins une utilité potentielle pour les autorités de l'Etat requérant. Dans ces conditions, la dé- cision entreprise est conforme au principe de la proportionnalité. Le fait que l'autorité requérante n'a pas expressément requis la documentation relative à la relation bancaire en cause, quand bien même elle connaissait l'existence de cette dernière, n'y change rien. Le grief soulevé est donc mal fondé.</w:t>
      </w:r>
    </w:p>
    <w:p>
      <w:r>
        <w:rPr>
          <w:b/>
        </w:rPr>
        <w:t>E. 4</w:t>
      </w:r>
    </w:p>
    <w:p>
      <w:r>
        <w:t>Il s'ensuit que le recours est mal fondé.</w:t>
      </w:r>
    </w:p>
    <w:p>
      <w:r>
        <w:rPr>
          <w:b/>
        </w:rPr>
        <w:t>E. 5</w:t>
      </w:r>
    </w:p>
    <w:p>
      <w:r>
        <w:t>Les frais de procédure comprenant l'émolument d'arrêté, les émoluments de chancellerie et les débours, sont mis à la charge des parties qui succombent (art. 63 al. 1 PA, applicable par renvoi de l'art. 39 al. 2 let. b LOAP). Le mon- 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5'000.-- (art. 73 al. 2 LOAP et art. 8 al. 3 du règlement du Tribunal pénal fédéral sur les frais, émoluments, dépens, et indemnités de la procédure pénale fédé- rale du 31 août 2010 [RFPPF; RS 173.713.162] et art. 63 al. 5 PA), entière- ment couverts par l'avance de frais effectuée.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